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拟兑现2022年度宿迁市技术转移奖补资金明细表</w:t>
      </w:r>
    </w:p>
    <w:bookmarkEnd w:id="0"/>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楷体_GBK" w:cs="Times New Roman"/>
          <w:i w:val="0"/>
          <w:color w:val="000000"/>
          <w:kern w:val="0"/>
          <w:sz w:val="28"/>
          <w:szCs w:val="28"/>
          <w:u w:val="none"/>
          <w:lang w:val="en-US" w:eastAsia="zh-CN" w:bidi="ar"/>
        </w:rPr>
      </w:pPr>
      <w:r>
        <w:rPr>
          <w:rFonts w:hint="default" w:ascii="Times New Roman" w:hAnsi="Times New Roman" w:eastAsia="方正楷体_GBK" w:cs="Times New Roman"/>
          <w:i w:val="0"/>
          <w:color w:val="000000"/>
          <w:kern w:val="0"/>
          <w:sz w:val="28"/>
          <w:szCs w:val="28"/>
          <w:u w:val="none"/>
          <w:lang w:val="en-US" w:eastAsia="zh-CN" w:bidi="ar"/>
        </w:rPr>
        <w:t>单位：万元</w:t>
      </w:r>
      <w:r>
        <w:rPr>
          <w:rFonts w:hint="eastAsia" w:ascii="Times New Roman" w:hAnsi="Times New Roman" w:eastAsia="方正楷体_GBK" w:cs="Times New Roman"/>
          <w:i w:val="0"/>
          <w:color w:val="000000"/>
          <w:kern w:val="0"/>
          <w:sz w:val="28"/>
          <w:szCs w:val="28"/>
          <w:u w:val="none"/>
          <w:lang w:val="en-US" w:eastAsia="zh-CN" w:bidi="ar"/>
        </w:rPr>
        <w:t xml:space="preserve">  </w:t>
      </w:r>
    </w:p>
    <w:tbl>
      <w:tblPr>
        <w:tblStyle w:val="2"/>
        <w:tblpPr w:leftFromText="180" w:rightFromText="180" w:vertAnchor="text" w:horzAnchor="page" w:tblpXSpec="center" w:tblpY="350"/>
        <w:tblOverlap w:val="never"/>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141"/>
        <w:gridCol w:w="2875"/>
        <w:gridCol w:w="1050"/>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blHeader/>
          <w:jc w:val="center"/>
        </w:trPr>
        <w:tc>
          <w:tcPr>
            <w:tcW w:w="851" w:type="dxa"/>
            <w:noWrap w:val="0"/>
            <w:vAlign w:val="center"/>
          </w:tcPr>
          <w:p>
            <w:pPr>
              <w:spacing w:line="320" w:lineRule="exact"/>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序号</w:t>
            </w:r>
          </w:p>
        </w:tc>
        <w:tc>
          <w:tcPr>
            <w:tcW w:w="4141" w:type="dxa"/>
            <w:noWrap w:val="0"/>
            <w:vAlign w:val="center"/>
          </w:tcPr>
          <w:p>
            <w:pPr>
              <w:tabs>
                <w:tab w:val="left" w:pos="2237"/>
              </w:tabs>
              <w:spacing w:line="320" w:lineRule="exact"/>
              <w:jc w:val="center"/>
              <w:rPr>
                <w:rFonts w:hint="eastAsia" w:ascii="Times New Roman" w:hAnsi="Times New Roman" w:eastAsia="方正黑体_GBK" w:cs="方正黑体_GBK"/>
                <w:sz w:val="28"/>
                <w:szCs w:val="28"/>
                <w:lang w:val="en-US" w:eastAsia="zh-CN"/>
              </w:rPr>
            </w:pPr>
            <w:r>
              <w:rPr>
                <w:rFonts w:hint="eastAsia" w:ascii="Times New Roman" w:hAnsi="Times New Roman" w:eastAsia="方正黑体_GBK" w:cs="方正黑体_GBK"/>
                <w:sz w:val="28"/>
                <w:szCs w:val="28"/>
                <w:lang w:val="en-US" w:eastAsia="zh-CN"/>
              </w:rPr>
              <w:t>项目名称</w:t>
            </w:r>
          </w:p>
        </w:tc>
        <w:tc>
          <w:tcPr>
            <w:tcW w:w="2875" w:type="dxa"/>
            <w:noWrap w:val="0"/>
            <w:vAlign w:val="center"/>
          </w:tcPr>
          <w:p>
            <w:pPr>
              <w:tabs>
                <w:tab w:val="left" w:pos="2237"/>
              </w:tabs>
              <w:spacing w:line="320" w:lineRule="exact"/>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企业名称</w:t>
            </w:r>
          </w:p>
        </w:tc>
        <w:tc>
          <w:tcPr>
            <w:tcW w:w="1050" w:type="dxa"/>
            <w:noWrap w:val="0"/>
            <w:vAlign w:val="center"/>
          </w:tcPr>
          <w:p>
            <w:pPr>
              <w:tabs>
                <w:tab w:val="left" w:pos="2237"/>
              </w:tabs>
              <w:spacing w:line="320" w:lineRule="exact"/>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兑现</w:t>
            </w:r>
          </w:p>
          <w:p>
            <w:pPr>
              <w:tabs>
                <w:tab w:val="left" w:pos="2237"/>
              </w:tabs>
              <w:spacing w:line="320" w:lineRule="exact"/>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金额</w:t>
            </w:r>
          </w:p>
        </w:tc>
        <w:tc>
          <w:tcPr>
            <w:tcW w:w="1377" w:type="dxa"/>
            <w:noWrap w:val="0"/>
            <w:vAlign w:val="center"/>
          </w:tcPr>
          <w:p>
            <w:pPr>
              <w:tabs>
                <w:tab w:val="left" w:pos="2237"/>
              </w:tabs>
              <w:spacing w:line="320" w:lineRule="exact"/>
              <w:jc w:val="center"/>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先进能源材料—液流电池电解质开发</w:t>
            </w:r>
          </w:p>
        </w:tc>
        <w:tc>
          <w:tcPr>
            <w:tcW w:w="28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5"/>
                <w:rFonts w:hint="eastAsia" w:ascii="Times New Roman" w:hAnsi="Times New Roman" w:eastAsia="方正仿宋_GBK" w:cs="方正仿宋_GBK"/>
                <w:sz w:val="28"/>
                <w:szCs w:val="28"/>
                <w:lang w:val="en-US" w:eastAsia="zh-CN" w:bidi="ar"/>
              </w:rPr>
              <w:t>宿迁联盛科技股份有限公司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5</w:t>
            </w:r>
          </w:p>
        </w:tc>
        <w:tc>
          <w:tcPr>
            <w:tcW w:w="137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宿豫区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2</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三丙酮胺衍生物在有机液流储能电池系统中的应用开发</w:t>
            </w:r>
          </w:p>
        </w:tc>
        <w:tc>
          <w:tcPr>
            <w:tcW w:w="28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3</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三丙酮胺加氯制四甲基哌啶醇固定床连续反应工艺及催化剂技术开发</w:t>
            </w:r>
          </w:p>
        </w:tc>
        <w:tc>
          <w:tcPr>
            <w:tcW w:w="28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3</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4</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系列紫外吸收剂的连续流(微通道)重氮化-偶合反应工艺开发</w:t>
            </w:r>
          </w:p>
        </w:tc>
        <w:tc>
          <w:tcPr>
            <w:tcW w:w="28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5</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胶粉绿色深度再生及再利用技术开发及产业化</w:t>
            </w:r>
          </w:p>
        </w:tc>
        <w:tc>
          <w:tcPr>
            <w:tcW w:w="28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宿迁绿金人橡塑机械有限公司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6</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变温环境下高耐疲劳性能的丁苯橡胶制品开发</w:t>
            </w:r>
          </w:p>
        </w:tc>
        <w:tc>
          <w:tcPr>
            <w:tcW w:w="28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0.1</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7</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安全防爆箔式端盖电容器的研发</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江苏联君科技有限公司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8</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研运测试集成云门户技术服务</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江苏浪云科技有限公司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20.2</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9</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乙撑胺微通道反应技术开发</w:t>
            </w:r>
          </w:p>
        </w:tc>
        <w:tc>
          <w:tcPr>
            <w:tcW w:w="28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宿迁新亚科技有限公司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4.25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10</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超大规模集成电路用G3+级N-甲基甲酰胺研发</w:t>
            </w:r>
          </w:p>
        </w:tc>
        <w:tc>
          <w:tcPr>
            <w:tcW w:w="28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11</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含芴环结构功能分子的产业化应用技术服务</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江苏永星化工股份有限公司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12</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磁流变液传动装置及控制系统开发</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宿迁中矿智能装备研究院有限公司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13</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自具微孔离聚物及其制备方法、自具微孔离聚物膜及应用</w:t>
            </w:r>
          </w:p>
        </w:tc>
        <w:tc>
          <w:tcPr>
            <w:tcW w:w="287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宿迁时代储能科技有限公司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18.9</w:t>
            </w:r>
          </w:p>
        </w:tc>
        <w:tc>
          <w:tcPr>
            <w:tcW w:w="137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宿豫区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14</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Style w:val="4"/>
                <w:rFonts w:hint="eastAsia" w:ascii="Times New Roman" w:hAnsi="Times New Roman" w:eastAsia="方正仿宋_GBK" w:cs="方正仿宋_GBK"/>
                <w:sz w:val="28"/>
                <w:szCs w:val="28"/>
                <w:lang w:val="en-US" w:eastAsia="zh-CN" w:bidi="ar"/>
              </w:rPr>
              <w:t>一种聚电解质材料、其制备方法和碱性聚电解质膜</w:t>
            </w:r>
          </w:p>
        </w:tc>
        <w:tc>
          <w:tcPr>
            <w:tcW w:w="287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20.1</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15</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“润两优612”品种权独占实施许可暨生产繁育技术转让</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江苏瑞华农业科技有限公司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2.5</w:t>
            </w:r>
          </w:p>
        </w:tc>
        <w:tc>
          <w:tcPr>
            <w:tcW w:w="1377" w:type="dxa"/>
            <w:vMerge w:val="restart"/>
            <w:noWrap w:val="0"/>
            <w:vAlign w:val="center"/>
          </w:tcPr>
          <w:p>
            <w:pPr>
              <w:keepNext w:val="0"/>
              <w:keepLines w:val="0"/>
              <w:pageBreakBefore w:val="0"/>
              <w:widowControl/>
              <w:suppressLineNumbers w:val="0"/>
              <w:tabs>
                <w:tab w:val="left" w:pos="381"/>
              </w:tabs>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宿城区</w:t>
            </w:r>
          </w:p>
          <w:p>
            <w:pPr>
              <w:keepNext w:val="0"/>
              <w:keepLines w:val="0"/>
              <w:pageBreakBefore w:val="0"/>
              <w:widowControl/>
              <w:suppressLineNumbers w:val="0"/>
              <w:tabs>
                <w:tab w:val="left" w:pos="381"/>
              </w:tabs>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16</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fldChar w:fldCharType="begin"/>
            </w:r>
            <w:r>
              <w:rPr>
                <w:rStyle w:val="4"/>
                <w:rFonts w:hint="eastAsia" w:ascii="Times New Roman" w:hAnsi="Times New Roman" w:eastAsia="方正仿宋_GBK" w:cs="方正仿宋_GBK"/>
                <w:i w:val="0"/>
                <w:iCs w:val="0"/>
                <w:color w:val="000000"/>
                <w:sz w:val="28"/>
                <w:szCs w:val="28"/>
                <w:lang w:val="en-US" w:eastAsia="zh-CN" w:bidi="ar"/>
              </w:rPr>
              <w:instrText xml:space="preserve"> HYPERLINK "mailto:Sn@Ti3C2电池负极材料制备工艺开发" \o "mailto:Sn@Ti3C2电池负极材料制备工艺开发" </w:instrText>
            </w:r>
            <w:r>
              <w:rPr>
                <w:rStyle w:val="4"/>
                <w:rFonts w:hint="eastAsia" w:ascii="Times New Roman" w:hAnsi="Times New Roman" w:eastAsia="方正仿宋_GBK" w:cs="方正仿宋_GBK"/>
                <w:i w:val="0"/>
                <w:iCs w:val="0"/>
                <w:color w:val="000000"/>
                <w:sz w:val="28"/>
                <w:szCs w:val="28"/>
                <w:lang w:val="en-US" w:eastAsia="zh-CN" w:bidi="ar"/>
              </w:rPr>
              <w:fldChar w:fldCharType="separate"/>
            </w:r>
            <w:r>
              <w:rPr>
                <w:rStyle w:val="4"/>
                <w:rFonts w:hint="eastAsia" w:ascii="Times New Roman" w:hAnsi="Times New Roman" w:eastAsia="方正仿宋_GBK" w:cs="方正仿宋_GBK"/>
                <w:i w:val="0"/>
                <w:iCs w:val="0"/>
                <w:color w:val="000000"/>
                <w:sz w:val="28"/>
                <w:szCs w:val="28"/>
                <w:lang w:val="en-US" w:eastAsia="zh-CN" w:bidi="ar"/>
              </w:rPr>
              <w:t>Sn@Ti3C2电池负极材料制备工艺开发</w:t>
            </w:r>
            <w:r>
              <w:rPr>
                <w:rStyle w:val="4"/>
                <w:rFonts w:hint="eastAsia" w:ascii="Times New Roman" w:hAnsi="Times New Roman" w:eastAsia="方正仿宋_GBK" w:cs="方正仿宋_GBK"/>
                <w:i w:val="0"/>
                <w:iCs w:val="0"/>
                <w:color w:val="000000"/>
                <w:sz w:val="28"/>
                <w:szCs w:val="28"/>
                <w:lang w:val="en-US" w:eastAsia="zh-CN" w:bidi="ar"/>
              </w:rPr>
              <w:fldChar w:fldCharType="end"/>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江苏宏鑫达新能源科技有限公司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2.75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17</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
                <w:rFonts w:hint="eastAsia" w:ascii="Times New Roman" w:hAnsi="Times New Roman" w:eastAsia="方正仿宋_GBK" w:cs="方正仿宋_GBK"/>
                <w:i w:val="0"/>
                <w:iCs w:val="0"/>
                <w:color w:val="000000"/>
                <w:sz w:val="28"/>
                <w:szCs w:val="28"/>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可用于白光LED照明和测温的荧光材料的研发</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
                <w:rFonts w:hint="eastAsia" w:ascii="Times New Roman" w:hAnsi="Times New Roman" w:eastAsia="方正仿宋_GBK" w:cs="方正仿宋_GBK"/>
                <w:i w:val="0"/>
                <w:iCs w:val="0"/>
                <w:color w:val="000000"/>
                <w:sz w:val="28"/>
                <w:szCs w:val="28"/>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江苏宿芯半导体有限公司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0.55</w:t>
            </w:r>
          </w:p>
        </w:tc>
        <w:tc>
          <w:tcPr>
            <w:tcW w:w="1377" w:type="dxa"/>
            <w:vMerge w:val="continue"/>
            <w:noWrap w:val="0"/>
            <w:vAlign w:val="center"/>
          </w:tcPr>
          <w:p>
            <w:pPr>
              <w:keepNext w:val="0"/>
              <w:keepLines w:val="0"/>
              <w:pageBreakBefore w:val="0"/>
              <w:widowControl/>
              <w:suppressLineNumbers w:val="0"/>
              <w:tabs>
                <w:tab w:val="left" w:pos="381"/>
              </w:tabs>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18</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
                <w:rFonts w:hint="eastAsia" w:ascii="Times New Roman" w:hAnsi="Times New Roman" w:eastAsia="方正仿宋_GBK" w:cs="方正仿宋_GBK"/>
                <w:i w:val="0"/>
                <w:iCs w:val="0"/>
                <w:color w:val="000000"/>
                <w:sz w:val="28"/>
                <w:szCs w:val="28"/>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基于大数据的智能空气净化设备监控平台研发</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4"/>
                <w:rFonts w:hint="eastAsia" w:ascii="Times New Roman" w:hAnsi="Times New Roman" w:eastAsia="方正仿宋_GBK" w:cs="方正仿宋_GBK"/>
                <w:i w:val="0"/>
                <w:iCs w:val="0"/>
                <w:color w:val="000000"/>
                <w:sz w:val="28"/>
                <w:szCs w:val="28"/>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江苏艾尔佳净化科技有限公司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1.5</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4"/>
                <w:rFonts w:hint="eastAsia" w:ascii="Times New Roman" w:hAnsi="Times New Roman" w:eastAsia="方正仿宋_GBK" w:cs="方正仿宋_GBK"/>
                <w:i w:val="0"/>
                <w:iCs w:val="0"/>
                <w:color w:val="00000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19</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汽车空调管路接头密封技术研发</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江苏铝技精密机械有限公司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w:t>
            </w:r>
          </w:p>
        </w:tc>
        <w:tc>
          <w:tcPr>
            <w:tcW w:w="137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4"/>
                <w:rFonts w:hint="eastAsia" w:ascii="Times New Roman" w:hAnsi="Times New Roman" w:eastAsia="方正仿宋_GBK" w:cs="方正仿宋_GBK"/>
                <w:i w:val="0"/>
                <w:iCs w:val="0"/>
                <w:color w:val="000000"/>
                <w:sz w:val="28"/>
                <w:szCs w:val="28"/>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经开区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4"/>
                <w:rFonts w:hint="eastAsia" w:ascii="Times New Roman" w:hAnsi="Times New Roman" w:eastAsia="方正仿宋_GBK" w:cs="方正仿宋_GBK"/>
                <w:i w:val="0"/>
                <w:iCs w:val="0"/>
                <w:color w:val="000000"/>
                <w:sz w:val="28"/>
                <w:szCs w:val="28"/>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20</w:t>
            </w:r>
          </w:p>
        </w:tc>
        <w:tc>
          <w:tcPr>
            <w:tcW w:w="41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通过微生物转化高含量有机硒的研究与应用</w:t>
            </w:r>
          </w:p>
        </w:tc>
        <w:tc>
          <w:tcPr>
            <w:tcW w:w="28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4"/>
                <w:rFonts w:hint="eastAsia" w:ascii="Times New Roman" w:hAnsi="Times New Roman" w:eastAsia="方正仿宋_GBK" w:cs="方正仿宋_GBK"/>
                <w:i w:val="0"/>
                <w:iCs w:val="0"/>
                <w:color w:val="000000"/>
                <w:sz w:val="28"/>
                <w:szCs w:val="28"/>
                <w:lang w:val="en-US" w:eastAsia="zh-CN" w:bidi="ar"/>
              </w:rPr>
              <w:t>江苏中农科食品工程股份有限公司</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2"/>
                <w:sz w:val="28"/>
                <w:szCs w:val="28"/>
                <w:u w:val="none"/>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1.96</w:t>
            </w:r>
          </w:p>
        </w:tc>
        <w:tc>
          <w:tcPr>
            <w:tcW w:w="137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4"/>
                <w:rFonts w:hint="eastAsia" w:ascii="Times New Roman" w:hAnsi="Times New Roman" w:eastAsia="方正仿宋_GBK" w:cs="方正仿宋_GBK"/>
                <w:i w:val="0"/>
                <w:iCs w:val="0"/>
                <w:color w:val="00000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86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黑体_GBK" w:cs="方正黑体_GBK"/>
                <w:i w:val="0"/>
                <w:iCs w:val="0"/>
                <w:color w:val="000000"/>
                <w:kern w:val="0"/>
                <w:sz w:val="28"/>
                <w:szCs w:val="28"/>
                <w:u w:val="none"/>
                <w:lang w:val="en-US" w:eastAsia="zh-CN" w:bidi="ar"/>
              </w:rPr>
              <w:t>合计</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5"/>
                <w:rFonts w:hint="eastAsia" w:ascii="Times New Roman" w:hAnsi="Times New Roman" w:eastAsia="方正仿宋_GBK" w:cs="方正仿宋_GBK"/>
                <w:i w:val="0"/>
                <w:iCs w:val="0"/>
                <w:color w:val="000000"/>
                <w:sz w:val="28"/>
                <w:szCs w:val="28"/>
                <w:lang w:val="en-US" w:eastAsia="zh-CN" w:bidi="ar"/>
              </w:rPr>
            </w:pPr>
            <w:r>
              <w:rPr>
                <w:rStyle w:val="5"/>
                <w:rFonts w:hint="eastAsia" w:ascii="Times New Roman" w:hAnsi="Times New Roman" w:eastAsia="方正仿宋_GBK" w:cs="方正仿宋_GBK"/>
                <w:i w:val="0"/>
                <w:iCs w:val="0"/>
                <w:color w:val="000000"/>
                <w:sz w:val="28"/>
                <w:szCs w:val="28"/>
                <w:lang w:val="en-US" w:eastAsia="zh-CN" w:bidi="ar"/>
              </w:rPr>
              <w:t>94.31</w:t>
            </w:r>
          </w:p>
        </w:tc>
        <w:tc>
          <w:tcPr>
            <w:tcW w:w="13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kern w:val="0"/>
                <w:sz w:val="28"/>
                <w:szCs w:val="28"/>
                <w:u w:val="none"/>
                <w:lang w:val="en-US" w:eastAsia="zh-CN" w:bidi="ar"/>
              </w:rPr>
            </w:pPr>
            <w:r>
              <w:rPr>
                <w:rFonts w:hint="eastAsia" w:ascii="Times New Roman" w:hAnsi="Times New Roman" w:eastAsia="方正仿宋_GBK" w:cs="方正仿宋_GBK"/>
                <w:i w:val="0"/>
                <w:iCs w:val="0"/>
                <w:color w:val="000000"/>
                <w:kern w:val="0"/>
                <w:sz w:val="28"/>
                <w:szCs w:val="28"/>
                <w:u w:val="none"/>
                <w:lang w:val="en-US"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YjhhZjNhYWZkMTUyN2JlZjBiNjZhMWI2NGM5YmUifQ=="/>
  </w:docVars>
  <w:rsids>
    <w:rsidRoot w:val="45540B53"/>
    <w:rsid w:val="4554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方正仿宋_GBK" w:hAnsi="方正仿宋_GBK" w:eastAsia="方正仿宋_GBK" w:cs="方正仿宋_GBK"/>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2023-11-20T09:04:00Z</dcterms:created>
  <dc:creator>小雯仔</dc:creator>
  <cp:lastModifiedBy>小雯仔</cp:lastModifiedBy>
  <dcterms:modified xsi:type="dcterms:W3CDTF">2023-11-20T09:04:41Z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AEEB1020254C4E3CB52700301E7AA616_11</vt:lpwstr>
  </property>
</Properties>
</file>