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E3264">
      <w:pPr>
        <w:spacing w:line="560" w:lineRule="exact"/>
        <w:rPr>
          <w:rFonts w:ascii="Times New Roman" w:eastAsia="方正仿宋_GBK" w:cs="Times New Roman"/>
          <w:sz w:val="32"/>
          <w:szCs w:val="32"/>
        </w:rPr>
      </w:pPr>
      <w:bookmarkStart w:id="0" w:name="_GoBack"/>
      <w:bookmarkEnd w:id="0"/>
    </w:p>
    <w:p w14:paraId="47401479">
      <w:pPr>
        <w:spacing w:line="560" w:lineRule="exact"/>
        <w:rPr>
          <w:rFonts w:ascii="Times New Roman" w:eastAsia="方正仿宋_GBK" w:cs="Times New Roman"/>
          <w:sz w:val="32"/>
          <w:szCs w:val="32"/>
        </w:rPr>
      </w:pPr>
    </w:p>
    <w:p w14:paraId="005E4040">
      <w:pPr>
        <w:spacing w:line="560" w:lineRule="exact"/>
        <w:rPr>
          <w:rFonts w:ascii="Times New Roman" w:eastAsia="方正仿宋_GBK" w:cs="Times New Roman"/>
          <w:sz w:val="32"/>
          <w:szCs w:val="32"/>
        </w:rPr>
      </w:pPr>
    </w:p>
    <w:p w14:paraId="3AD38602">
      <w:pPr>
        <w:spacing w:line="560" w:lineRule="exact"/>
        <w:rPr>
          <w:rFonts w:ascii="Times New Roman" w:eastAsia="方正仿宋_GBK" w:cs="Times New Roman"/>
          <w:sz w:val="32"/>
          <w:szCs w:val="32"/>
        </w:rPr>
      </w:pPr>
    </w:p>
    <w:p w14:paraId="5FC8BB64">
      <w:pPr>
        <w:spacing w:line="560" w:lineRule="exact"/>
        <w:rPr>
          <w:rFonts w:ascii="Times New Roman" w:eastAsia="方正仿宋_GBK" w:cs="Times New Roman"/>
          <w:sz w:val="32"/>
          <w:szCs w:val="32"/>
        </w:rPr>
      </w:pPr>
    </w:p>
    <w:p w14:paraId="32C9CA30">
      <w:pPr>
        <w:spacing w:line="560" w:lineRule="exact"/>
        <w:rPr>
          <w:rFonts w:ascii="Times New Roman" w:eastAsia="方正仿宋_GBK" w:cs="Times New Roman"/>
          <w:sz w:val="32"/>
          <w:szCs w:val="32"/>
        </w:rPr>
      </w:pPr>
    </w:p>
    <w:p w14:paraId="025E6BA2">
      <w:pPr>
        <w:spacing w:line="560" w:lineRule="exact"/>
        <w:jc w:val="center"/>
        <w:rPr>
          <w:rFonts w:ascii="Times New Roman" w:eastAsia="方正仿宋_GBK" w:cs="Times New Roman"/>
          <w:sz w:val="32"/>
          <w:szCs w:val="32"/>
        </w:rPr>
      </w:pPr>
    </w:p>
    <w:p w14:paraId="7B53D14F">
      <w:pPr>
        <w:spacing w:line="560" w:lineRule="exact"/>
        <w:jc w:val="center"/>
        <w:rPr>
          <w:rFonts w:ascii="Times New Roman" w:eastAsia="方正仿宋_GBK" w:cs="Times New Roman"/>
          <w:sz w:val="32"/>
          <w:szCs w:val="32"/>
        </w:rPr>
      </w:pPr>
      <w:r>
        <w:rPr>
          <w:rFonts w:hint="eastAsia" w:ascii="Times New Roman" w:eastAsia="方正仿宋_GBK" w:cs="Times New Roman"/>
          <w:sz w:val="32"/>
          <w:szCs w:val="32"/>
        </w:rPr>
        <w:t>宿科发〔</w:t>
      </w:r>
      <w:r>
        <w:rPr>
          <w:rFonts w:ascii="Times New Roman" w:eastAsia="方正仿宋_GBK" w:cs="Times New Roman"/>
          <w:sz w:val="32"/>
          <w:szCs w:val="32"/>
        </w:rPr>
        <w:t>20</w:t>
      </w:r>
      <w:r>
        <w:rPr>
          <w:rFonts w:hint="eastAsia" w:ascii="Times New Roman" w:eastAsia="方正仿宋_GBK" w:cs="Times New Roman"/>
          <w:sz w:val="32"/>
          <w:szCs w:val="32"/>
        </w:rPr>
        <w:t>26〕12号</w:t>
      </w:r>
    </w:p>
    <w:p w14:paraId="5991AB07">
      <w:pPr>
        <w:spacing w:line="560" w:lineRule="exact"/>
        <w:rPr>
          <w:rFonts w:ascii="方正仿宋_GBK" w:eastAsia="方正仿宋_GBK"/>
          <w:sz w:val="32"/>
          <w:szCs w:val="32"/>
        </w:rPr>
      </w:pPr>
    </w:p>
    <w:p w14:paraId="445B0887">
      <w:pPr>
        <w:spacing w:line="540" w:lineRule="exact"/>
        <w:jc w:val="center"/>
        <w:rPr>
          <w:rFonts w:ascii="方正大标宋简体" w:eastAsia="方正大标宋简体"/>
          <w:sz w:val="44"/>
          <w:szCs w:val="44"/>
        </w:rPr>
      </w:pPr>
      <w:r>
        <w:rPr>
          <w:rFonts w:hint="eastAsia" w:ascii="方正大标宋简体" w:eastAsia="方正大标宋简体"/>
          <w:sz w:val="44"/>
          <w:szCs w:val="44"/>
        </w:rPr>
        <w:t>宿迁市科学技术局</w:t>
      </w:r>
      <w:r>
        <w:rPr>
          <w:rFonts w:ascii="方正大标宋简体" w:eastAsia="方正大标宋简体"/>
          <w:sz w:val="44"/>
          <w:szCs w:val="44"/>
        </w:rPr>
        <w:t xml:space="preserve">  </w:t>
      </w:r>
      <w:r>
        <w:rPr>
          <w:rFonts w:hint="eastAsia" w:ascii="方正大标宋简体" w:eastAsia="方正大标宋简体"/>
          <w:sz w:val="44"/>
          <w:szCs w:val="44"/>
        </w:rPr>
        <w:t>宿迁市财政局</w:t>
      </w:r>
    </w:p>
    <w:p w14:paraId="73630CD7">
      <w:pPr>
        <w:spacing w:line="540" w:lineRule="exact"/>
        <w:jc w:val="center"/>
        <w:rPr>
          <w:rFonts w:ascii="方正大标宋简体" w:eastAsia="方正大标宋简体"/>
          <w:sz w:val="44"/>
          <w:szCs w:val="44"/>
        </w:rPr>
      </w:pPr>
      <w:r>
        <w:rPr>
          <w:rFonts w:hint="eastAsia" w:ascii="方正大标宋简体" w:eastAsia="方正大标宋简体"/>
          <w:sz w:val="44"/>
          <w:szCs w:val="44"/>
        </w:rPr>
        <w:t>关于印发</w:t>
      </w:r>
      <w:r>
        <w:rPr>
          <w:rFonts w:hint="eastAsia" w:ascii="方正大标宋简体" w:eastAsia="方正大标宋简体" w:cs="Times New Roman"/>
          <w:sz w:val="44"/>
          <w:szCs w:val="44"/>
        </w:rPr>
        <w:t>宿迁市科技计划管理办法</w:t>
      </w:r>
      <w:r>
        <w:rPr>
          <w:rFonts w:hint="eastAsia" w:ascii="方正大标宋简体" w:eastAsia="方正大标宋简体"/>
          <w:sz w:val="44"/>
          <w:szCs w:val="44"/>
        </w:rPr>
        <w:t>的通知</w:t>
      </w:r>
    </w:p>
    <w:p w14:paraId="39F0803A">
      <w:pPr>
        <w:spacing w:line="540" w:lineRule="exact"/>
        <w:rPr>
          <w:rFonts w:ascii="方正仿宋_GBK" w:eastAsia="方正仿宋_GBK"/>
          <w:sz w:val="32"/>
          <w:szCs w:val="32"/>
        </w:rPr>
      </w:pPr>
    </w:p>
    <w:p w14:paraId="5A740F1B">
      <w:pPr>
        <w:spacing w:line="540" w:lineRule="exact"/>
        <w:rPr>
          <w:rFonts w:ascii="Times New Roman" w:eastAsia="方正仿宋_GBK" w:cs="Times New Roman"/>
          <w:sz w:val="32"/>
          <w:szCs w:val="32"/>
        </w:rPr>
      </w:pPr>
      <w:r>
        <w:rPr>
          <w:rFonts w:hint="eastAsia" w:ascii="方正仿宋_GBK" w:eastAsia="方正仿宋_GBK"/>
          <w:sz w:val="32"/>
          <w:szCs w:val="32"/>
        </w:rPr>
        <w:t>各县、区</w:t>
      </w:r>
      <w:r>
        <w:rPr>
          <w:rFonts w:hint="eastAsia" w:ascii="Times New Roman" w:eastAsia="方正仿宋_GBK" w:cs="Times New Roman"/>
          <w:sz w:val="32"/>
          <w:szCs w:val="32"/>
        </w:rPr>
        <w:t>科技局、财政局，市各开发区、新区、园区经发局（科技人才局）、财政局，市有关部门，各有关单位：</w:t>
      </w:r>
    </w:p>
    <w:p w14:paraId="31745713">
      <w:pPr>
        <w:spacing w:line="540" w:lineRule="exact"/>
        <w:ind w:firstLine="640" w:firstLineChars="200"/>
        <w:rPr>
          <w:rFonts w:ascii="Times New Roman" w:eastAsia="方正仿宋_GBK" w:cs="Times New Roman"/>
          <w:sz w:val="32"/>
          <w:szCs w:val="32"/>
        </w:rPr>
      </w:pPr>
      <w:r>
        <w:rPr>
          <w:rFonts w:hint="eastAsia" w:ascii="方正仿宋_GBK" w:eastAsia="方正仿宋_GBK"/>
          <w:sz w:val="32"/>
          <w:szCs w:val="32"/>
        </w:rPr>
        <w:t>为</w:t>
      </w:r>
      <w:r>
        <w:rPr>
          <w:rFonts w:hint="eastAsia" w:ascii="Times New Roman" w:eastAsia="方正仿宋_GBK" w:cs="Times New Roman"/>
          <w:sz w:val="32"/>
          <w:szCs w:val="32"/>
        </w:rPr>
        <w:t>规范宿迁市科技计划的组织实施，进一步</w:t>
      </w:r>
      <w:r>
        <w:rPr>
          <w:rFonts w:hint="eastAsia" w:ascii="方正仿宋_GBK" w:eastAsia="方正仿宋_GBK"/>
          <w:sz w:val="32"/>
          <w:szCs w:val="32"/>
        </w:rPr>
        <w:t>提高项目管理效率和实施绩效，</w:t>
      </w:r>
      <w:r>
        <w:rPr>
          <w:rFonts w:hint="eastAsia" w:ascii="Times New Roman" w:eastAsia="方正仿宋_GBK" w:cs="Times New Roman"/>
          <w:sz w:val="32"/>
          <w:szCs w:val="32"/>
        </w:rPr>
        <w:t>我们对《宿迁市科技计划项目管理办法（2023年修订）》（宿科发〔</w:t>
      </w:r>
      <w:r>
        <w:rPr>
          <w:rFonts w:ascii="Times New Roman" w:eastAsia="方正仿宋_GBK" w:cs="Times New Roman"/>
          <w:sz w:val="32"/>
          <w:szCs w:val="32"/>
        </w:rPr>
        <w:t>20</w:t>
      </w:r>
      <w:r>
        <w:rPr>
          <w:rFonts w:hint="eastAsia" w:ascii="Times New Roman" w:eastAsia="方正仿宋_GBK" w:cs="Times New Roman"/>
          <w:sz w:val="32"/>
          <w:szCs w:val="32"/>
        </w:rPr>
        <w:t>23〕17号）进行了修订。现将修订后的《宿迁市科技计划管理办法》印发给你们，请遵照执行。</w:t>
      </w:r>
    </w:p>
    <w:p w14:paraId="573D4CB1">
      <w:pPr>
        <w:spacing w:line="560" w:lineRule="exact"/>
        <w:ind w:firstLine="640" w:firstLineChars="200"/>
        <w:rPr>
          <w:rFonts w:ascii="Times New Roman" w:eastAsia="方正仿宋_GBK" w:cs="Times New Roman"/>
          <w:sz w:val="32"/>
          <w:szCs w:val="32"/>
        </w:rPr>
      </w:pPr>
    </w:p>
    <w:p w14:paraId="65B40581">
      <w:pPr>
        <w:spacing w:line="560" w:lineRule="exact"/>
        <w:ind w:firstLine="640" w:firstLineChars="200"/>
        <w:rPr>
          <w:rFonts w:ascii="Times New Roman" w:eastAsia="方正仿宋_GBK" w:cs="Times New Roman"/>
          <w:sz w:val="32"/>
          <w:szCs w:val="32"/>
        </w:rPr>
      </w:pPr>
    </w:p>
    <w:p w14:paraId="2ABAB1E4">
      <w:pPr>
        <w:spacing w:line="540" w:lineRule="exact"/>
        <w:ind w:right="57" w:firstLine="1280" w:firstLineChars="400"/>
        <w:jc w:val="left"/>
        <w:rPr>
          <w:rFonts w:ascii="Times New Roman" w:eastAsia="方正仿宋_GBK" w:cs="Times New Roman"/>
          <w:sz w:val="32"/>
          <w:szCs w:val="32"/>
        </w:rPr>
      </w:pPr>
      <w:r>
        <w:rPr>
          <w:rFonts w:hint="eastAsia" w:ascii="Times New Roman" w:eastAsia="方正仿宋_GBK" w:cs="Times New Roman"/>
          <w:sz w:val="32"/>
          <w:szCs w:val="32"/>
        </w:rPr>
        <w:t>宿迁市科学技术局</w:t>
      </w:r>
      <w:r>
        <w:rPr>
          <w:rFonts w:ascii="Times New Roman" w:eastAsia="方正仿宋_GBK" w:cs="Times New Roman"/>
          <w:sz w:val="32"/>
          <w:szCs w:val="32"/>
        </w:rPr>
        <w:t xml:space="preserve">           </w:t>
      </w:r>
      <w:r>
        <w:rPr>
          <w:rFonts w:hint="eastAsia" w:ascii="Times New Roman" w:eastAsia="方正仿宋_GBK" w:cs="Times New Roman"/>
          <w:sz w:val="32"/>
          <w:szCs w:val="32"/>
        </w:rPr>
        <w:t>宿迁市财政局</w:t>
      </w:r>
    </w:p>
    <w:p w14:paraId="3513E4A5">
      <w:pPr>
        <w:spacing w:line="540" w:lineRule="exact"/>
        <w:ind w:right="57" w:firstLine="5372" w:firstLineChars="1679"/>
        <w:jc w:val="left"/>
        <w:rPr>
          <w:rFonts w:ascii="Times New Roman" w:eastAsia="方正仿宋_GBK" w:cs="Times New Roman"/>
          <w:sz w:val="32"/>
          <w:szCs w:val="32"/>
        </w:rPr>
      </w:pPr>
      <w:r>
        <w:rPr>
          <w:rFonts w:ascii="Times New Roman" w:eastAsia="方正仿宋_GBK" w:cs="Times New Roman"/>
          <w:sz w:val="32"/>
          <w:szCs w:val="32"/>
        </w:rPr>
        <w:t>20</w:t>
      </w:r>
      <w:r>
        <w:rPr>
          <w:rFonts w:hint="eastAsia" w:ascii="Times New Roman" w:eastAsia="方正仿宋_GBK" w:cs="Times New Roman"/>
          <w:sz w:val="32"/>
          <w:szCs w:val="32"/>
        </w:rPr>
        <w:t>26年7月20日</w:t>
      </w:r>
    </w:p>
    <w:p w14:paraId="0D9C71A7">
      <w:pPr>
        <w:widowControl/>
        <w:spacing w:line="560" w:lineRule="exact"/>
        <w:ind w:firstLine="640" w:firstLineChars="200"/>
        <w:jc w:val="left"/>
        <w:rPr>
          <w:rFonts w:ascii="方正仿宋_GBK" w:eastAsia="方正仿宋_GBK"/>
          <w:sz w:val="32"/>
          <w:szCs w:val="32"/>
        </w:rPr>
      </w:pPr>
      <w:r>
        <w:rPr>
          <w:rFonts w:hint="eastAsia" w:ascii="方正仿宋_GBK" w:eastAsia="方正仿宋_GBK"/>
          <w:sz w:val="32"/>
          <w:szCs w:val="32"/>
        </w:rPr>
        <w:t>（此件公开发布）</w:t>
      </w:r>
    </w:p>
    <w:p w14:paraId="45C0CD36">
      <w:pPr>
        <w:widowControl/>
        <w:spacing w:line="560" w:lineRule="exact"/>
        <w:jc w:val="center"/>
        <w:rPr>
          <w:rFonts w:ascii="方正小标宋_GBK" w:eastAsia="方正小标宋_GBK"/>
          <w:sz w:val="44"/>
          <w:szCs w:val="44"/>
        </w:rPr>
      </w:pPr>
      <w:r>
        <w:rPr>
          <w:rFonts w:hint="eastAsia" w:ascii="方正小标宋_GBK" w:eastAsia="方正小标宋_GBK"/>
          <w:sz w:val="44"/>
          <w:szCs w:val="44"/>
        </w:rPr>
        <w:t>宿迁市科技计划管理办法</w:t>
      </w:r>
    </w:p>
    <w:p w14:paraId="108D7DA4">
      <w:pPr>
        <w:spacing w:line="560" w:lineRule="exact"/>
        <w:jc w:val="center"/>
        <w:rPr>
          <w:rFonts w:ascii="方正黑体_GBK" w:eastAsia="方正黑体_GBK"/>
          <w:sz w:val="32"/>
          <w:szCs w:val="32"/>
        </w:rPr>
      </w:pPr>
    </w:p>
    <w:p w14:paraId="1F19BB12">
      <w:pPr>
        <w:spacing w:before="156" w:beforeLines="50" w:after="156" w:afterLines="50" w:line="560" w:lineRule="exact"/>
        <w:jc w:val="center"/>
        <w:rPr>
          <w:rFonts w:ascii="方正黑体_GBK" w:eastAsia="方正黑体_GBK"/>
          <w:sz w:val="32"/>
          <w:szCs w:val="32"/>
        </w:rPr>
      </w:pPr>
      <w:r>
        <w:rPr>
          <w:rFonts w:hint="eastAsia" w:ascii="方正黑体_GBK" w:eastAsia="方正黑体_GBK"/>
          <w:sz w:val="32"/>
          <w:szCs w:val="32"/>
        </w:rPr>
        <w:t>总</w:t>
      </w:r>
      <w:r>
        <w:rPr>
          <w:rFonts w:ascii="方正黑体_GBK" w:eastAsia="方正黑体_GBK"/>
          <w:sz w:val="32"/>
          <w:szCs w:val="32"/>
        </w:rPr>
        <w:t xml:space="preserve"> </w:t>
      </w:r>
      <w:r>
        <w:rPr>
          <w:rFonts w:hint="eastAsia" w:ascii="方正黑体_GBK" w:eastAsia="方正黑体_GBK"/>
          <w:sz w:val="32"/>
          <w:szCs w:val="32"/>
        </w:rPr>
        <w:t>则</w:t>
      </w:r>
    </w:p>
    <w:p w14:paraId="392A67BF">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第一条</w:t>
      </w:r>
      <w:r>
        <w:rPr>
          <w:rFonts w:ascii="方正仿宋_GBK" w:eastAsia="方正仿宋_GBK"/>
          <w:sz w:val="32"/>
          <w:szCs w:val="32"/>
        </w:rPr>
        <w:t xml:space="preserve">  </w:t>
      </w:r>
      <w:r>
        <w:rPr>
          <w:rFonts w:hint="eastAsia" w:ascii="方正仿宋_GBK" w:hAnsi="方正仿宋_GBK" w:eastAsia="方正仿宋_GBK" w:cs="方正仿宋_GBK"/>
          <w:color w:val="000000"/>
          <w:sz w:val="32"/>
          <w:szCs w:val="32"/>
        </w:rPr>
        <w:t>为深入贯彻《国务院办公厅关于改革完善中央财政科研经费管理的若干意</w:t>
      </w:r>
      <w:r>
        <w:rPr>
          <w:rFonts w:ascii="Times New Roman" w:eastAsia="方正仿宋_GBK" w:cs="Times New Roman"/>
          <w:color w:val="000000"/>
          <w:sz w:val="32"/>
          <w:szCs w:val="32"/>
        </w:rPr>
        <w:t>见》（国办发〔2021〕32号）、《省政府办公厅关于改革完善江苏省省级财政科研经费管理的实施意见》（苏政办发〔2022〕13号）、《江苏省科技计划专项资金管理办法》（苏财规〔2023〕1号）</w:t>
      </w:r>
      <w:r>
        <w:rPr>
          <w:rFonts w:hint="eastAsia" w:ascii="Times New Roman" w:eastAsia="方正仿宋_GBK" w:cs="Times New Roman"/>
          <w:color w:val="000000"/>
          <w:sz w:val="32"/>
          <w:szCs w:val="32"/>
        </w:rPr>
        <w:t>、《江苏省科技计划项目合同制管理实施细则（试行）》（苏科规范〔2025〕4号）</w:t>
      </w:r>
      <w:r>
        <w:rPr>
          <w:rFonts w:hint="eastAsia" w:ascii="方正仿宋_GBK" w:hAnsi="方正仿宋_GBK" w:eastAsia="方正仿宋_GBK" w:cs="方正仿宋_GBK"/>
          <w:color w:val="000000"/>
          <w:sz w:val="32"/>
          <w:szCs w:val="32"/>
        </w:rPr>
        <w:t>等文件精神，</w:t>
      </w:r>
      <w:r>
        <w:rPr>
          <w:rFonts w:hint="eastAsia" w:ascii="方正仿宋_GBK" w:eastAsia="方正仿宋_GBK"/>
          <w:sz w:val="32"/>
          <w:szCs w:val="32"/>
        </w:rPr>
        <w:t>进一步规范和加强宿迁市科技计划的组织实施，提高科技计划项目绩效，结合实际制定本办法。</w:t>
      </w:r>
    </w:p>
    <w:p w14:paraId="2ADAEBCC">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第二条</w:t>
      </w:r>
      <w:r>
        <w:rPr>
          <w:rFonts w:ascii="方正仿宋_GBK" w:eastAsia="方正仿宋_GBK"/>
          <w:sz w:val="32"/>
          <w:szCs w:val="32"/>
        </w:rPr>
        <w:t xml:space="preserve">  </w:t>
      </w:r>
      <w:r>
        <w:rPr>
          <w:rFonts w:hint="eastAsia" w:ascii="方正仿宋_GBK" w:eastAsia="方正仿宋_GBK"/>
          <w:sz w:val="32"/>
          <w:szCs w:val="32"/>
        </w:rPr>
        <w:t>宿迁市科技计划（以下简称“市科技计划”）</w:t>
      </w:r>
      <w:r>
        <w:rPr>
          <w:rFonts w:hint="eastAsia" w:ascii="仿宋" w:hAnsi="仿宋" w:eastAsia="仿宋" w:cs="Times New Roman"/>
          <w:color w:val="000000"/>
          <w:sz w:val="32"/>
          <w:szCs w:val="32"/>
        </w:rPr>
        <w:t>是市委、市政府持续支持科技创新活动的重要方式，</w:t>
      </w:r>
      <w:r>
        <w:rPr>
          <w:rFonts w:hint="eastAsia" w:ascii="方正仿宋_GBK" w:eastAsia="方正仿宋_GBK"/>
          <w:sz w:val="32"/>
          <w:szCs w:val="32"/>
        </w:rPr>
        <w:t>由宿迁市科学技术局（以下简称“市科技局”）会同宿迁市财政局（以下简称“市财政局”），使用市级产业发展引导资金（科技创新专项）（以下简称“市级科技创新专项资金”）组织实施。</w:t>
      </w:r>
    </w:p>
    <w:p w14:paraId="2B94A9AF">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第三条</w:t>
      </w:r>
      <w:r>
        <w:rPr>
          <w:rFonts w:hint="eastAsia" w:ascii="方正仿宋_GBK" w:eastAsia="方正仿宋_GBK"/>
          <w:sz w:val="32"/>
          <w:szCs w:val="32"/>
        </w:rPr>
        <w:t xml:space="preserve">  宿迁市科技计划项目（以下简称“市科技计划项目”）是指列入本市科技计划，由具有独立法人资格的单位承担并在一定时间周期内实施的科学研究、技术开发及相关科技创新活动。</w:t>
      </w:r>
    </w:p>
    <w:p w14:paraId="013E5760">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第四条</w:t>
      </w:r>
      <w:r>
        <w:rPr>
          <w:rFonts w:ascii="方正仿宋_GBK" w:eastAsia="方正仿宋_GBK"/>
          <w:sz w:val="32"/>
          <w:szCs w:val="32"/>
        </w:rPr>
        <w:t xml:space="preserve">  </w:t>
      </w:r>
      <w:r>
        <w:rPr>
          <w:rFonts w:hint="eastAsia" w:ascii="方正仿宋_GBK" w:eastAsia="方正仿宋_GBK"/>
          <w:sz w:val="32"/>
          <w:szCs w:val="32"/>
        </w:rPr>
        <w:t>市科技计划项目的管理遵循“科学规范、权责明确、需求牵引、绩效导向、自主申请、诚实守信”的原则，突出品德、能力、业绩导向，克服唯论文、唯职称、唯学历、唯奖项倾向，注重标志性成果的质量、贡献、影响，充分调动创新主体的积极性和创造性，促进形成充满活力的科技管理和运行机制。</w:t>
      </w:r>
    </w:p>
    <w:p w14:paraId="4FAAA536">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第五条</w:t>
      </w:r>
      <w:r>
        <w:rPr>
          <w:rFonts w:ascii="方正仿宋_GBK" w:eastAsia="方正仿宋_GBK"/>
          <w:sz w:val="32"/>
          <w:szCs w:val="32"/>
        </w:rPr>
        <w:t xml:space="preserve">  </w:t>
      </w:r>
      <w:r>
        <w:rPr>
          <w:rFonts w:hint="eastAsia" w:ascii="方正仿宋_GBK" w:eastAsia="方正仿宋_GBK"/>
          <w:sz w:val="32"/>
          <w:szCs w:val="32"/>
        </w:rPr>
        <w:t>市科技计划的组织实施和市科技计划项目的全过程管理适用本办法。</w:t>
      </w:r>
    </w:p>
    <w:p w14:paraId="6090F051">
      <w:pPr>
        <w:spacing w:before="156" w:beforeLines="50" w:after="156" w:afterLines="50" w:line="550" w:lineRule="exact"/>
        <w:jc w:val="center"/>
        <w:rPr>
          <w:rFonts w:ascii="方正黑体_GBK" w:eastAsia="方正黑体_GBK"/>
          <w:sz w:val="32"/>
          <w:szCs w:val="32"/>
        </w:rPr>
      </w:pPr>
      <w:r>
        <w:rPr>
          <w:rFonts w:hint="eastAsia" w:ascii="方正黑体_GBK" w:eastAsia="方正黑体_GBK"/>
          <w:sz w:val="32"/>
          <w:szCs w:val="32"/>
        </w:rPr>
        <w:t>计划设立和项目分类</w:t>
      </w:r>
    </w:p>
    <w:p w14:paraId="336047B7">
      <w:pPr>
        <w:pStyle w:val="6"/>
        <w:spacing w:before="0" w:beforeAutospacing="0" w:after="0" w:afterAutospacing="0" w:line="550" w:lineRule="exact"/>
        <w:ind w:firstLine="640"/>
        <w:jc w:val="both"/>
        <w:rPr>
          <w:rFonts w:hint="eastAsia" w:ascii="方正仿宋_GBK" w:hAnsi="方正仿宋_GBK" w:eastAsia="方正仿宋_GBK" w:cs="方正仿宋_GBK"/>
          <w:color w:val="333333"/>
          <w:sz w:val="21"/>
          <w:szCs w:val="21"/>
        </w:rPr>
      </w:pPr>
      <w:r>
        <w:rPr>
          <w:rFonts w:hint="eastAsia" w:ascii="方正黑体_GBK" w:hAnsi="Times New Roman" w:eastAsia="方正黑体_GBK" w:cs="Arial"/>
          <w:kern w:val="2"/>
          <w:sz w:val="32"/>
          <w:szCs w:val="32"/>
        </w:rPr>
        <w:t>第六条 </w:t>
      </w:r>
      <w:r>
        <w:rPr>
          <w:rFonts w:ascii="Times New Roman" w:hAnsi="Times New Roman" w:cs="Times New Roman"/>
          <w:color w:val="000000"/>
          <w:sz w:val="32"/>
          <w:szCs w:val="32"/>
        </w:rPr>
        <w:t> </w:t>
      </w:r>
      <w:r>
        <w:rPr>
          <w:rFonts w:hint="eastAsia" w:ascii="方正仿宋_GBK" w:hAnsi="方正仿宋_GBK" w:eastAsia="方正仿宋_GBK" w:cs="方正仿宋_GBK"/>
          <w:color w:val="000000"/>
          <w:sz w:val="32"/>
          <w:szCs w:val="32"/>
        </w:rPr>
        <w:t>市科技局根据全市科技发展规划和战略部署，结合国民经济和社会发展对科技创新的需求设置市科技计划，在保持相对稳定与连贯的基础上实行动态调整。</w:t>
      </w:r>
    </w:p>
    <w:p w14:paraId="0FAC0DBA">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第七条</w:t>
      </w:r>
      <w:r>
        <w:rPr>
          <w:rFonts w:ascii="方正仿宋_GBK" w:eastAsia="方正仿宋_GBK"/>
          <w:sz w:val="32"/>
          <w:szCs w:val="32"/>
        </w:rPr>
        <w:t xml:space="preserve">  </w:t>
      </w:r>
      <w:r>
        <w:rPr>
          <w:rFonts w:hint="eastAsia" w:ascii="方正仿宋_GBK" w:eastAsia="方正仿宋_GBK"/>
          <w:sz w:val="32"/>
          <w:szCs w:val="32"/>
        </w:rPr>
        <w:t>市科技计划项目实施分类管理。</w:t>
      </w:r>
    </w:p>
    <w:p w14:paraId="56974EAB">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（一）按财政资金支持方式，分为</w:t>
      </w:r>
      <w:r>
        <w:rPr>
          <w:rFonts w:hint="eastAsia" w:ascii="方正仿宋_GBK" w:eastAsia="方正仿宋_GBK"/>
          <w:color w:val="000000"/>
          <w:sz w:val="32"/>
          <w:szCs w:val="32"/>
        </w:rPr>
        <w:t>前期先导性</w:t>
      </w:r>
      <w:r>
        <w:rPr>
          <w:rFonts w:hint="eastAsia" w:ascii="方正仿宋_GBK" w:eastAsia="方正仿宋_GBK"/>
          <w:sz w:val="32"/>
          <w:szCs w:val="32"/>
        </w:rPr>
        <w:t>资助项目（以下简称“前资助项目”）和后补助项目。</w:t>
      </w:r>
    </w:p>
    <w:p w14:paraId="05B1D582">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前资助项目是指在项目实施前，通过评审论证，择优给予立项并先行给予资金资助的项目，前资助项目原则上应体现竞争性。</w:t>
      </w:r>
    </w:p>
    <w:p w14:paraId="12589879">
      <w:pPr>
        <w:spacing w:line="550" w:lineRule="exact"/>
        <w:ind w:firstLine="640" w:firstLineChars="200"/>
        <w:rPr>
          <w:rFonts w:ascii="方正仿宋_GBK" w:eastAsia="方正仿宋_GBK"/>
          <w:sz w:val="32"/>
          <w:szCs w:val="32"/>
        </w:rPr>
      </w:pPr>
      <w:r>
        <w:rPr>
          <w:rFonts w:hint="eastAsia" w:ascii="方正仿宋_GBK" w:hAnsi="方正仿宋_GBK" w:eastAsia="方正仿宋_GBK" w:cs="方正仿宋_GBK"/>
          <w:color w:val="000000"/>
          <w:sz w:val="32"/>
          <w:szCs w:val="32"/>
        </w:rPr>
        <w:t>后补助项目是指承担单位先行实施，在完成项目、取得成果或服务绩效后给予资金补助的项目，包括事前立项事后补助和奖励性后补助。事前立项事后补助，是指项目立项后，由项目承担单位先行投入资金组织实施，项目结束并通过综合绩效评价（验收）后，给予适当补助；奖励性后补助，是指对法人单位取得有助于解决国家、省和市急需或影响经济社会发展问题的科研成果，给予奖励补助。</w:t>
      </w:r>
    </w:p>
    <w:p w14:paraId="6BDE0EEE">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（二）按财政资金支持额度，分为重大项目、重点项目和一般项目。其中，支持额度</w:t>
      </w:r>
      <w:r>
        <w:rPr>
          <w:rFonts w:ascii="Times New Roman" w:eastAsia="方正仿宋_GBK" w:cs="Times New Roman"/>
          <w:sz w:val="32"/>
          <w:szCs w:val="32"/>
        </w:rPr>
        <w:t>100</w:t>
      </w:r>
      <w:r>
        <w:rPr>
          <w:rFonts w:hint="eastAsia" w:ascii="Times New Roman" w:eastAsia="方正仿宋_GBK" w:cs="Times New Roman"/>
          <w:sz w:val="32"/>
          <w:szCs w:val="32"/>
        </w:rPr>
        <w:t>万元以上的项目为重大项目，</w:t>
      </w:r>
      <w:r>
        <w:rPr>
          <w:rFonts w:ascii="Times New Roman" w:eastAsia="方正仿宋_GBK" w:cs="Times New Roman"/>
          <w:sz w:val="32"/>
          <w:szCs w:val="32"/>
        </w:rPr>
        <w:t>30</w:t>
      </w:r>
      <w:r>
        <w:rPr>
          <w:rFonts w:hint="eastAsia" w:ascii="Times New Roman" w:eastAsia="方正仿宋_GBK" w:cs="Times New Roman"/>
          <w:sz w:val="32"/>
          <w:szCs w:val="32"/>
        </w:rPr>
        <w:t>万元以上、不满</w:t>
      </w:r>
      <w:r>
        <w:rPr>
          <w:rFonts w:ascii="Times New Roman" w:eastAsia="方正仿宋_GBK" w:cs="Times New Roman"/>
          <w:sz w:val="32"/>
          <w:szCs w:val="32"/>
        </w:rPr>
        <w:t>100</w:t>
      </w:r>
      <w:r>
        <w:rPr>
          <w:rFonts w:hint="eastAsia" w:ascii="Times New Roman" w:eastAsia="方正仿宋_GBK" w:cs="Times New Roman"/>
          <w:sz w:val="32"/>
          <w:szCs w:val="32"/>
        </w:rPr>
        <w:t>万元的项目为重点项目，不满</w:t>
      </w:r>
      <w:r>
        <w:rPr>
          <w:rFonts w:ascii="Times New Roman" w:eastAsia="方正仿宋_GBK" w:cs="Times New Roman"/>
          <w:sz w:val="32"/>
          <w:szCs w:val="32"/>
        </w:rPr>
        <w:t>30</w:t>
      </w:r>
      <w:r>
        <w:rPr>
          <w:rFonts w:hint="eastAsia" w:ascii="Times New Roman" w:eastAsia="方正仿宋_GBK" w:cs="Times New Roman"/>
          <w:sz w:val="32"/>
          <w:szCs w:val="32"/>
        </w:rPr>
        <w:t>万元</w:t>
      </w:r>
      <w:r>
        <w:rPr>
          <w:rFonts w:hint="eastAsia" w:ascii="方正仿宋_GBK" w:eastAsia="方正仿宋_GBK"/>
          <w:sz w:val="32"/>
          <w:szCs w:val="32"/>
        </w:rPr>
        <w:t>的项目为一般项目。</w:t>
      </w:r>
    </w:p>
    <w:p w14:paraId="40EFAA69">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（三）</w:t>
      </w:r>
      <w:r>
        <w:rPr>
          <w:rFonts w:hint="eastAsia" w:ascii="方正仿宋_GBK" w:hAnsi="方正仿宋_GBK" w:eastAsia="方正仿宋_GBK" w:cs="方正仿宋_GBK"/>
          <w:color w:val="000000"/>
          <w:sz w:val="32"/>
          <w:szCs w:val="32"/>
        </w:rPr>
        <w:t>按遴选立项方式，分为竞争择优、合规审核和定向组织项目。竞争择优项目是指通过组织评审论证申报单位提交的申报材料，或实施“揭榜挂帅”“赛马”等新型项目组织机制，择优给予立项支持的项目。对于市场化程度较高的项目类型，探索“以投代评”“以赛代评”等新型项目组织形式。合规审核项目是指通过审查申报单位提交的申报材料，对符合规定条件的给予立项支持的项目。</w:t>
      </w:r>
      <w:r>
        <w:rPr>
          <w:rFonts w:hint="eastAsia" w:ascii="方正仿宋_GBK" w:eastAsia="方正仿宋_GBK"/>
          <w:sz w:val="32"/>
          <w:szCs w:val="32"/>
        </w:rPr>
        <w:t>定向组织项目是指落实市委市政府决策部署以及根据科技创新特定需要，定向组织实施和给予资助的项目。</w:t>
      </w:r>
    </w:p>
    <w:p w14:paraId="456951FD">
      <w:pPr>
        <w:spacing w:before="156" w:beforeLines="50" w:after="156" w:afterLines="50" w:line="550" w:lineRule="exact"/>
        <w:jc w:val="center"/>
        <w:rPr>
          <w:rFonts w:ascii="方正黑体_GBK" w:eastAsia="方正黑体_GBK"/>
          <w:sz w:val="32"/>
          <w:szCs w:val="32"/>
        </w:rPr>
      </w:pPr>
      <w:r>
        <w:rPr>
          <w:rFonts w:hint="eastAsia" w:ascii="方正黑体_GBK" w:eastAsia="方正黑体_GBK"/>
          <w:sz w:val="32"/>
          <w:szCs w:val="32"/>
        </w:rPr>
        <w:t>管理机构与职责</w:t>
      </w:r>
    </w:p>
    <w:p w14:paraId="747B3A90">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第八条</w:t>
      </w:r>
      <w:r>
        <w:rPr>
          <w:rFonts w:ascii="方正仿宋_GBK" w:eastAsia="方正仿宋_GBK"/>
          <w:sz w:val="32"/>
          <w:szCs w:val="32"/>
        </w:rPr>
        <w:t xml:space="preserve">  </w:t>
      </w:r>
      <w:r>
        <w:rPr>
          <w:rFonts w:hint="eastAsia" w:ascii="方正仿宋_GBK" w:eastAsia="方正仿宋_GBK"/>
          <w:sz w:val="32"/>
          <w:szCs w:val="32"/>
        </w:rPr>
        <w:t>市</w:t>
      </w:r>
      <w:r>
        <w:rPr>
          <w:rFonts w:hint="eastAsia" w:ascii="方正仿宋_GBK" w:eastAsia="方正仿宋_GBK"/>
          <w:spacing w:val="-6"/>
          <w:sz w:val="32"/>
          <w:szCs w:val="32"/>
        </w:rPr>
        <w:t>科技计划项目管理的责任主体包括市科技局、</w:t>
      </w:r>
      <w:r>
        <w:rPr>
          <w:rFonts w:hint="eastAsia" w:ascii="Times New Roman" w:eastAsia="方正仿宋_GBK"/>
          <w:color w:val="000000"/>
          <w:spacing w:val="-6"/>
          <w:kern w:val="0"/>
          <w:sz w:val="32"/>
          <w:szCs w:val="32"/>
        </w:rPr>
        <w:t>市财政局、</w:t>
      </w:r>
      <w:r>
        <w:rPr>
          <w:rFonts w:hint="eastAsia" w:ascii="方正仿宋_GBK" w:eastAsia="方正仿宋_GBK"/>
          <w:spacing w:val="-6"/>
          <w:sz w:val="32"/>
          <w:szCs w:val="32"/>
        </w:rPr>
        <w:t>项目主管部门或归口管理部门（以下简称“项目主管部门”）、项目承担单位及项目负责人、项目管理专业机构等</w:t>
      </w:r>
      <w:r>
        <w:rPr>
          <w:rFonts w:hint="eastAsia" w:ascii="方正仿宋_GBK" w:eastAsia="方正仿宋_GBK"/>
          <w:sz w:val="32"/>
          <w:szCs w:val="32"/>
        </w:rPr>
        <w:t>。</w:t>
      </w:r>
    </w:p>
    <w:p w14:paraId="3682967B">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第九条</w:t>
      </w:r>
      <w:r>
        <w:rPr>
          <w:rFonts w:ascii="方正仿宋_GBK" w:eastAsia="方正仿宋_GBK"/>
          <w:sz w:val="32"/>
          <w:szCs w:val="32"/>
        </w:rPr>
        <w:t xml:space="preserve">  </w:t>
      </w:r>
      <w:r>
        <w:rPr>
          <w:rFonts w:hint="eastAsia" w:ascii="方正仿宋_GBK" w:eastAsia="方正仿宋_GBK"/>
          <w:sz w:val="32"/>
          <w:szCs w:val="32"/>
        </w:rPr>
        <w:t>市科技局主要职责：</w:t>
      </w:r>
    </w:p>
    <w:p w14:paraId="4AD3C360">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（一）研究制订有关计划项目管理制度和规定；</w:t>
      </w:r>
    </w:p>
    <w:p w14:paraId="38FB19C9">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（二）研究确定项目主管部门，遴选确定项目管理专业机构，指导和监督项目主管部门、项目管理专业机构工作；</w:t>
      </w:r>
    </w:p>
    <w:p w14:paraId="1418FAAE">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（三）确定年度市科技计划并组织实施，会市财政局发布年度项目指南及申报通知；</w:t>
      </w:r>
    </w:p>
    <w:p w14:paraId="1D55A3B4">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（四）组织开展或委托开展项目申报受理、评审论证、审核评估、实施管理、验收及绩效评价、监督检查等全过程管理工作，负责项目立项、调整、终止和撤销等管理工作；</w:t>
      </w:r>
    </w:p>
    <w:p w14:paraId="7975F698">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（五）开展年度市科技计划项目立项行政决策，会同市财政局下达项目和资金；</w:t>
      </w:r>
    </w:p>
    <w:p w14:paraId="3D822CFD">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（六）建设市科技专家库等，委托和指导项目管理专业机构进行开发和运维；</w:t>
      </w:r>
    </w:p>
    <w:p w14:paraId="4604C4D8">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（七）对项目主管部门、项目承担单位、项目负责人、受委托的项目管理专业机构、评审咨询专家、中介机构</w:t>
      </w:r>
      <w:r>
        <w:rPr>
          <w:rFonts w:hint="eastAsia" w:ascii="方正仿宋_GBK" w:hAnsi="Calibri" w:eastAsia="方正仿宋_GBK" w:cs="Times New Roman"/>
          <w:sz w:val="32"/>
          <w:szCs w:val="32"/>
        </w:rPr>
        <w:t>等参与项目管理的各类责任主体开展科研诚信管理</w:t>
      </w:r>
      <w:r>
        <w:rPr>
          <w:rFonts w:hint="eastAsia" w:ascii="方正仿宋_GBK" w:eastAsia="方正仿宋_GBK"/>
          <w:sz w:val="32"/>
          <w:szCs w:val="32"/>
        </w:rPr>
        <w:t>；</w:t>
      </w:r>
    </w:p>
    <w:p w14:paraId="400071A1">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（八）协调处理项目实施中的重大事项；</w:t>
      </w:r>
    </w:p>
    <w:p w14:paraId="6C13FB30">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（九）组织实施项目绩效自评价；</w:t>
      </w:r>
    </w:p>
    <w:p w14:paraId="55984823">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（十）法律、法规、规章规定的其他职责。</w:t>
      </w:r>
    </w:p>
    <w:p w14:paraId="4E144F8A">
      <w:pPr>
        <w:spacing w:line="550" w:lineRule="exact"/>
        <w:ind w:firstLine="640" w:firstLineChars="200"/>
        <w:jc w:val="left"/>
        <w:rPr>
          <w:rFonts w:ascii="Times New Roman" w:eastAsia="方正仿宋_GBK"/>
          <w:kern w:val="0"/>
          <w:sz w:val="32"/>
          <w:szCs w:val="32"/>
        </w:rPr>
      </w:pPr>
      <w:r>
        <w:rPr>
          <w:rFonts w:hint="eastAsia" w:ascii="方正黑体_GBK" w:eastAsia="方正黑体_GBK"/>
          <w:sz w:val="32"/>
          <w:szCs w:val="32"/>
        </w:rPr>
        <w:t>第十条</w:t>
      </w:r>
      <w:r>
        <w:rPr>
          <w:rFonts w:ascii="Times New Roman" w:eastAsia="方正仿宋_GBK"/>
          <w:kern w:val="0"/>
          <w:sz w:val="32"/>
          <w:szCs w:val="32"/>
        </w:rPr>
        <w:t xml:space="preserve">  </w:t>
      </w:r>
      <w:r>
        <w:rPr>
          <w:rFonts w:hint="eastAsia" w:ascii="Times New Roman" w:eastAsia="方正仿宋_GBK"/>
          <w:kern w:val="0"/>
          <w:sz w:val="32"/>
          <w:szCs w:val="32"/>
        </w:rPr>
        <w:t>市财政局主要职责：</w:t>
      </w:r>
    </w:p>
    <w:p w14:paraId="7C3C3F64">
      <w:pPr>
        <w:spacing w:line="550" w:lineRule="exact"/>
        <w:ind w:firstLine="640" w:firstLineChars="200"/>
        <w:jc w:val="left"/>
        <w:rPr>
          <w:rFonts w:ascii="Times New Roman" w:eastAsia="方正仿宋_GBK"/>
          <w:kern w:val="0"/>
          <w:sz w:val="32"/>
          <w:szCs w:val="32"/>
        </w:rPr>
      </w:pPr>
      <w:r>
        <w:rPr>
          <w:rFonts w:hint="eastAsia" w:ascii="Times New Roman" w:eastAsia="方正仿宋_GBK"/>
          <w:kern w:val="0"/>
          <w:sz w:val="32"/>
          <w:szCs w:val="32"/>
        </w:rPr>
        <w:t>（一）核定年度科技计划资金预算；</w:t>
      </w:r>
    </w:p>
    <w:p w14:paraId="2E58CC80">
      <w:pPr>
        <w:spacing w:line="550" w:lineRule="exact"/>
        <w:ind w:firstLine="640" w:firstLineChars="200"/>
        <w:jc w:val="left"/>
        <w:rPr>
          <w:rFonts w:ascii="Times New Roman" w:eastAsia="方正仿宋_GBK"/>
          <w:kern w:val="0"/>
          <w:sz w:val="32"/>
          <w:szCs w:val="32"/>
        </w:rPr>
      </w:pPr>
      <w:r>
        <w:rPr>
          <w:rFonts w:hint="eastAsia" w:ascii="Times New Roman" w:eastAsia="方正仿宋_GBK"/>
          <w:kern w:val="0"/>
          <w:sz w:val="32"/>
          <w:szCs w:val="32"/>
        </w:rPr>
        <w:t>（二）会同市科技局审核并下达项目资金；</w:t>
      </w:r>
    </w:p>
    <w:p w14:paraId="1FAA1701">
      <w:pPr>
        <w:spacing w:line="550" w:lineRule="exact"/>
        <w:ind w:firstLine="640" w:firstLineChars="200"/>
        <w:jc w:val="left"/>
        <w:rPr>
          <w:rFonts w:ascii="Times New Roman" w:eastAsia="方正仿宋_GBK"/>
          <w:kern w:val="0"/>
          <w:sz w:val="32"/>
          <w:szCs w:val="32"/>
        </w:rPr>
      </w:pPr>
      <w:r>
        <w:rPr>
          <w:rFonts w:hint="eastAsia" w:ascii="Times New Roman" w:eastAsia="方正仿宋_GBK"/>
          <w:kern w:val="0"/>
          <w:sz w:val="32"/>
          <w:szCs w:val="32"/>
        </w:rPr>
        <w:t>（三）会</w:t>
      </w:r>
      <w:r>
        <w:rPr>
          <w:rFonts w:hint="eastAsia" w:ascii="Times New Roman" w:eastAsia="方正仿宋_GBK"/>
          <w:spacing w:val="-17"/>
          <w:kern w:val="0"/>
          <w:sz w:val="32"/>
          <w:szCs w:val="32"/>
        </w:rPr>
        <w:t>同市科技局对项目资金管理使用情况进行监督检查</w:t>
      </w:r>
      <w:r>
        <w:rPr>
          <w:rFonts w:hint="eastAsia" w:ascii="Times New Roman" w:eastAsia="方正仿宋_GBK"/>
          <w:kern w:val="0"/>
          <w:sz w:val="32"/>
          <w:szCs w:val="32"/>
        </w:rPr>
        <w:t>；</w:t>
      </w:r>
    </w:p>
    <w:p w14:paraId="5B41464C">
      <w:pPr>
        <w:spacing w:line="550" w:lineRule="exact"/>
        <w:ind w:firstLine="640" w:firstLineChars="200"/>
        <w:rPr>
          <w:rFonts w:ascii="Times New Roman" w:eastAsia="方正仿宋_GBK"/>
          <w:kern w:val="0"/>
          <w:sz w:val="32"/>
          <w:szCs w:val="32"/>
        </w:rPr>
      </w:pPr>
      <w:r>
        <w:rPr>
          <w:rFonts w:hint="eastAsia" w:ascii="Times New Roman" w:eastAsia="方正仿宋_GBK"/>
          <w:kern w:val="0"/>
          <w:sz w:val="32"/>
          <w:szCs w:val="32"/>
        </w:rPr>
        <w:t>（四）对重大科技计划项目组织财政重点绩效评价；</w:t>
      </w:r>
    </w:p>
    <w:p w14:paraId="7232AFA4">
      <w:pPr>
        <w:spacing w:line="550" w:lineRule="exact"/>
        <w:ind w:firstLine="640" w:firstLineChars="200"/>
        <w:rPr>
          <w:rFonts w:ascii="Times New Roman" w:eastAsia="方正仿宋_GBK"/>
          <w:kern w:val="0"/>
          <w:sz w:val="32"/>
          <w:szCs w:val="32"/>
        </w:rPr>
      </w:pPr>
      <w:r>
        <w:rPr>
          <w:rFonts w:hint="eastAsia" w:ascii="方正仿宋_GBK" w:eastAsia="方正仿宋_GBK"/>
          <w:sz w:val="32"/>
          <w:szCs w:val="32"/>
        </w:rPr>
        <w:t>（五）法律、法规、规章规定的其他职责。</w:t>
      </w:r>
    </w:p>
    <w:p w14:paraId="1D892536">
      <w:pPr>
        <w:pStyle w:val="6"/>
        <w:widowControl w:val="0"/>
        <w:spacing w:before="0" w:beforeAutospacing="0" w:after="0" w:afterAutospacing="0" w:line="550" w:lineRule="exact"/>
        <w:ind w:firstLine="640" w:firstLineChars="200"/>
        <w:jc w:val="both"/>
        <w:rPr>
          <w:rFonts w:hint="eastAsia" w:ascii="Times New Roman" w:eastAsia="方正仿宋_GBK"/>
          <w:sz w:val="32"/>
          <w:szCs w:val="32"/>
        </w:rPr>
      </w:pPr>
      <w:r>
        <w:rPr>
          <w:rFonts w:hint="eastAsia" w:ascii="方正黑体_GBK" w:eastAsia="方正黑体_GBK"/>
          <w:sz w:val="32"/>
          <w:szCs w:val="32"/>
        </w:rPr>
        <w:t>第十一条</w:t>
      </w:r>
      <w:r>
        <w:rPr>
          <w:rFonts w:ascii="Times New Roman" w:eastAsia="方正仿宋_GBK"/>
          <w:sz w:val="32"/>
          <w:szCs w:val="32"/>
        </w:rPr>
        <w:t xml:space="preserve">  </w:t>
      </w:r>
      <w:r>
        <w:rPr>
          <w:rFonts w:hint="eastAsia" w:ascii="Times New Roman" w:eastAsia="方正仿宋_GBK"/>
          <w:sz w:val="32"/>
          <w:szCs w:val="32"/>
        </w:rPr>
        <w:t>项目主管部门包括各县（区）、市各开发区（新区、园区）科技行政主管部门以及市科技局确定的市直有关部门（单位）和高等院校、科研院所等，</w:t>
      </w:r>
      <w:r>
        <w:rPr>
          <w:rFonts w:hint="eastAsia" w:ascii="Times New Roman" w:eastAsia="方正仿宋_GBK"/>
          <w:color w:val="000000"/>
          <w:sz w:val="32"/>
          <w:szCs w:val="32"/>
        </w:rPr>
        <w:t>项目</w:t>
      </w:r>
      <w:r>
        <w:rPr>
          <w:rFonts w:hint="eastAsia" w:ascii="Times New Roman" w:eastAsia="方正仿宋_GBK"/>
          <w:sz w:val="32"/>
          <w:szCs w:val="32"/>
        </w:rPr>
        <w:t>主管</w:t>
      </w:r>
      <w:r>
        <w:rPr>
          <w:rFonts w:hint="eastAsia" w:ascii="Times New Roman" w:eastAsia="方正仿宋_GBK"/>
          <w:color w:val="000000"/>
          <w:sz w:val="32"/>
          <w:szCs w:val="32"/>
        </w:rPr>
        <w:t>部门有疑义的，由市科技局指定。</w:t>
      </w:r>
      <w:r>
        <w:rPr>
          <w:rFonts w:hint="eastAsia" w:ascii="Times New Roman" w:eastAsia="方正仿宋_GBK"/>
          <w:sz w:val="32"/>
          <w:szCs w:val="32"/>
        </w:rPr>
        <w:t>其主要职责：</w:t>
      </w:r>
    </w:p>
    <w:p w14:paraId="31653B32">
      <w:pPr>
        <w:spacing w:line="550" w:lineRule="exact"/>
        <w:ind w:firstLine="640" w:firstLineChars="200"/>
        <w:jc w:val="left"/>
        <w:rPr>
          <w:rFonts w:ascii="方正仿宋_GBK" w:eastAsia="方正仿宋_GBK"/>
          <w:sz w:val="32"/>
          <w:szCs w:val="32"/>
        </w:rPr>
      </w:pPr>
      <w:r>
        <w:rPr>
          <w:rFonts w:hint="eastAsia" w:ascii="Times New Roman" w:eastAsia="方正仿宋_GBK"/>
          <w:kern w:val="0"/>
          <w:sz w:val="32"/>
          <w:szCs w:val="32"/>
        </w:rPr>
        <w:t>（一）按照年度项目指南及申报通知要求，组织做好本地</w:t>
      </w:r>
      <w:r>
        <w:rPr>
          <w:rFonts w:hint="eastAsia" w:ascii="方正仿宋_GBK" w:hAnsi="Calibri" w:eastAsia="方正仿宋_GBK" w:cs="Times New Roman"/>
          <w:sz w:val="32"/>
          <w:szCs w:val="32"/>
        </w:rPr>
        <w:t>区、本单位或下辖单位的项目申报工作；</w:t>
      </w:r>
    </w:p>
    <w:p w14:paraId="139CB7F2">
      <w:pPr>
        <w:spacing w:line="550" w:lineRule="exact"/>
        <w:ind w:firstLine="640" w:firstLineChars="200"/>
        <w:jc w:val="left"/>
        <w:rPr>
          <w:rFonts w:ascii="Times New Roman" w:eastAsia="方正仿宋_GBK"/>
          <w:color w:val="000000"/>
          <w:kern w:val="0"/>
          <w:sz w:val="32"/>
          <w:szCs w:val="32"/>
        </w:rPr>
      </w:pPr>
      <w:r>
        <w:rPr>
          <w:rFonts w:hint="eastAsia" w:ascii="方正仿宋_GBK" w:eastAsia="方正仿宋_GBK"/>
          <w:sz w:val="32"/>
          <w:szCs w:val="32"/>
        </w:rPr>
        <w:t>（二）</w:t>
      </w:r>
      <w:r>
        <w:rPr>
          <w:rFonts w:hint="eastAsia" w:ascii="Times New Roman" w:eastAsia="方正仿宋_GBK" w:cs="Times New Roman"/>
          <w:kern w:val="0"/>
          <w:sz w:val="32"/>
          <w:szCs w:val="32"/>
        </w:rPr>
        <w:t>审</w:t>
      </w:r>
      <w:r>
        <w:rPr>
          <w:rFonts w:hint="eastAsia" w:ascii="方正仿宋_GBK" w:hAnsi="Calibri" w:eastAsia="方正仿宋_GBK" w:cs="Times New Roman"/>
          <w:sz w:val="32"/>
          <w:szCs w:val="32"/>
        </w:rPr>
        <w:t>核项目申报单位的申报资格、项目申报材料的真实性、完整性和有效性</w:t>
      </w:r>
      <w:r>
        <w:rPr>
          <w:rFonts w:hint="eastAsia" w:ascii="方正仿宋_GBK" w:eastAsia="方正仿宋_GBK"/>
          <w:sz w:val="32"/>
          <w:szCs w:val="32"/>
        </w:rPr>
        <w:t>，</w:t>
      </w:r>
      <w:r>
        <w:rPr>
          <w:rFonts w:hint="eastAsia" w:ascii="方正仿宋_GBK" w:hAnsi="Calibri" w:eastAsia="方正仿宋_GBK" w:cs="Times New Roman"/>
          <w:sz w:val="32"/>
          <w:szCs w:val="32"/>
        </w:rPr>
        <w:t>并做好项目推荐、合同初审、实施管理等工作</w:t>
      </w:r>
      <w:r>
        <w:rPr>
          <w:rFonts w:hint="eastAsia" w:ascii="方正仿宋_GBK" w:eastAsia="方正仿宋_GBK"/>
          <w:sz w:val="32"/>
          <w:szCs w:val="32"/>
        </w:rPr>
        <w:t>；</w:t>
      </w:r>
    </w:p>
    <w:p w14:paraId="7E497D07">
      <w:pPr>
        <w:spacing w:line="550" w:lineRule="exact"/>
        <w:ind w:firstLine="627" w:firstLineChars="196"/>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（三）协助同级财政部门及时拨付项目经费，督促项目承担单位自筹资金及时到位、专款专用，监督项目的实施和经费使用，督促项目承担单位及负责人按期实施和完成项目；</w:t>
      </w:r>
    </w:p>
    <w:p w14:paraId="644E65A2">
      <w:pPr>
        <w:spacing w:line="550" w:lineRule="exact"/>
        <w:ind w:firstLine="627" w:firstLineChars="196"/>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（四）协助或受托参与立项项目全过程管理，开展项目检查、评估、验收和绩效评价等，督促管理范围内项目承担单位实施和完成项目； </w:t>
      </w:r>
    </w:p>
    <w:p w14:paraId="2E9DEDDD">
      <w:pPr>
        <w:spacing w:line="55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（五）对项</w:t>
      </w:r>
      <w:r>
        <w:rPr>
          <w:rFonts w:hint="eastAsia" w:ascii="方正仿宋_GBK" w:hAnsi="方正仿宋_GBK" w:eastAsia="方正仿宋_GBK" w:cs="方正仿宋_GBK"/>
          <w:spacing w:val="-6"/>
          <w:sz w:val="32"/>
          <w:szCs w:val="32"/>
        </w:rPr>
        <w:t>目验收材料审查和报送，承担其管理范围内一般项目的验收工作，</w:t>
      </w:r>
      <w:r>
        <w:rPr>
          <w:rFonts w:hint="eastAsia" w:ascii="方正仿宋_GBK" w:hAnsi="方正仿宋_GBK" w:eastAsia="方正仿宋_GBK" w:cs="方正仿宋_GBK"/>
          <w:color w:val="000000"/>
          <w:spacing w:val="-6"/>
          <w:sz w:val="32"/>
          <w:szCs w:val="24"/>
        </w:rPr>
        <w:t>负责有关项目结余资金追回等后续处理工</w:t>
      </w:r>
      <w:r>
        <w:rPr>
          <w:rFonts w:hint="eastAsia" w:ascii="方正仿宋_GBK" w:hAnsi="方正仿宋_GBK" w:eastAsia="方正仿宋_GBK" w:cs="方正仿宋_GBK"/>
          <w:spacing w:val="-6"/>
          <w:sz w:val="32"/>
          <w:szCs w:val="32"/>
        </w:rPr>
        <w:t>作</w:t>
      </w:r>
      <w:r>
        <w:rPr>
          <w:rFonts w:hint="eastAsia" w:ascii="方正仿宋_GBK" w:hAnsi="方正仿宋_GBK" w:eastAsia="方正仿宋_GBK" w:cs="方正仿宋_GBK"/>
          <w:sz w:val="32"/>
          <w:szCs w:val="32"/>
        </w:rPr>
        <w:t>；</w:t>
      </w:r>
    </w:p>
    <w:p w14:paraId="7BBB1458">
      <w:pPr>
        <w:spacing w:line="550" w:lineRule="exact"/>
        <w:ind w:firstLine="627" w:firstLineChars="196"/>
        <w:rPr>
          <w:rFonts w:hint="eastAsia" w:ascii="方正仿宋_GBK" w:hAnsi="方正仿宋_GBK" w:eastAsia="方正仿宋_GBK" w:cs="方正仿宋_GBK"/>
          <w:strike/>
          <w:sz w:val="32"/>
          <w:szCs w:val="32"/>
        </w:rPr>
      </w:pPr>
      <w:r>
        <w:rPr>
          <w:rFonts w:hint="eastAsia" w:ascii="方正仿宋_GBK" w:hAnsi="方正仿宋_GBK" w:eastAsia="方正仿宋_GBK" w:cs="方正仿宋_GBK"/>
          <w:sz w:val="32"/>
          <w:szCs w:val="32"/>
        </w:rPr>
        <w:t>（六）接受市科技局的业务指导，及时协调、上报项目管理中发现的问题；</w:t>
      </w:r>
    </w:p>
    <w:p w14:paraId="530864BC">
      <w:pPr>
        <w:spacing w:line="55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（七）配合市科技局对项目承担单位及项目负责人进行信用评价；</w:t>
      </w:r>
    </w:p>
    <w:p w14:paraId="040D6860">
      <w:pPr>
        <w:spacing w:line="550" w:lineRule="exact"/>
        <w:ind w:firstLine="640" w:firstLineChars="200"/>
        <w:rPr>
          <w:rFonts w:ascii="方正仿宋_GBK" w:eastAsia="方正仿宋_GBK"/>
          <w:sz w:val="32"/>
          <w:szCs w:val="32"/>
        </w:rPr>
      </w:pPr>
      <w:r>
        <w:rPr>
          <w:rFonts w:hint="eastAsia" w:ascii="方正仿宋_GBK" w:hAnsi="方正仿宋_GBK" w:eastAsia="方正仿宋_GBK" w:cs="方正仿宋_GBK"/>
          <w:sz w:val="32"/>
          <w:szCs w:val="32"/>
        </w:rPr>
        <w:t>（八）法律、法规、规章规定的其他职责。</w:t>
      </w:r>
    </w:p>
    <w:p w14:paraId="1169E9D1">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第十二条</w:t>
      </w:r>
      <w:r>
        <w:rPr>
          <w:rFonts w:ascii="方正仿宋_GBK" w:eastAsia="方正仿宋_GBK"/>
          <w:sz w:val="32"/>
          <w:szCs w:val="32"/>
        </w:rPr>
        <w:t xml:space="preserve">  </w:t>
      </w:r>
      <w:r>
        <w:rPr>
          <w:rFonts w:hint="eastAsia" w:ascii="方正仿宋_GBK" w:eastAsia="方正仿宋_GBK"/>
          <w:sz w:val="32"/>
          <w:szCs w:val="32"/>
        </w:rPr>
        <w:t>项目承担单位和负责人的主要职责：</w:t>
      </w:r>
    </w:p>
    <w:p w14:paraId="273BC095">
      <w:pPr>
        <w:spacing w:line="550" w:lineRule="exact"/>
        <w:ind w:firstLine="627" w:firstLineChars="196"/>
        <w:rPr>
          <w:rFonts w:ascii="方正仿宋_GBK" w:hAnsi="Calibri" w:eastAsia="方正仿宋_GBK" w:cs="Times New Roman"/>
          <w:sz w:val="32"/>
          <w:szCs w:val="32"/>
        </w:rPr>
      </w:pPr>
      <w:r>
        <w:rPr>
          <w:rFonts w:hint="eastAsia" w:ascii="方正仿宋_GBK" w:hAnsi="Calibri" w:eastAsia="方正仿宋_GBK" w:cs="Times New Roman"/>
          <w:sz w:val="32"/>
          <w:szCs w:val="32"/>
        </w:rPr>
        <w:t>（一）项目承担单位是项目实施的责任主体，负责项目实施管理，对项目申报、完成项目内容、实现目标任务负主体责任；项目负责人是项目组织实施的直接责任人，承担项目组织、协调、执行等具体工作；</w:t>
      </w:r>
    </w:p>
    <w:p w14:paraId="3A57DCCF">
      <w:pPr>
        <w:spacing w:line="550" w:lineRule="exact"/>
        <w:ind w:firstLine="627" w:firstLineChars="196"/>
        <w:rPr>
          <w:rFonts w:ascii="方正仿宋_GBK" w:hAnsi="Calibri" w:eastAsia="方正仿宋_GBK" w:cs="Times New Roman"/>
          <w:sz w:val="32"/>
          <w:szCs w:val="32"/>
        </w:rPr>
      </w:pPr>
      <w:r>
        <w:rPr>
          <w:rFonts w:hint="eastAsia" w:ascii="方正仿宋_GBK" w:hAnsi="Calibri" w:eastAsia="方正仿宋_GBK" w:cs="Times New Roman"/>
          <w:sz w:val="32"/>
          <w:szCs w:val="32"/>
        </w:rPr>
        <w:t>（二）</w:t>
      </w:r>
      <w:r>
        <w:rPr>
          <w:rFonts w:hint="eastAsia" w:ascii="方正仿宋_GBK" w:eastAsia="方正仿宋_GBK"/>
          <w:sz w:val="32"/>
          <w:szCs w:val="32"/>
        </w:rPr>
        <w:t>落实科研诚信承诺制度，对项目材料的真实性、完整性、有效性负主体责任；</w:t>
      </w:r>
    </w:p>
    <w:p w14:paraId="57BED261">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（三）严格执行项目合同，落实</w:t>
      </w:r>
      <w:r>
        <w:rPr>
          <w:rFonts w:hint="eastAsia" w:ascii="方正仿宋_GBK" w:hAnsi="Calibri" w:eastAsia="方正仿宋_GBK" w:cs="Times New Roman"/>
          <w:sz w:val="32"/>
          <w:szCs w:val="32"/>
        </w:rPr>
        <w:t>项目实施的</w:t>
      </w:r>
      <w:r>
        <w:rPr>
          <w:rFonts w:hint="eastAsia" w:ascii="方正仿宋_GBK" w:eastAsia="方正仿宋_GBK"/>
          <w:sz w:val="32"/>
          <w:szCs w:val="32"/>
        </w:rPr>
        <w:t>相关保障条件，依法依规使用项目经费，按期完成项目目标任务；</w:t>
      </w:r>
    </w:p>
    <w:p w14:paraId="4E99C3A1">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（四）建立健全单位内部项目管理制度，负责项目实施的日常管理、经费管理、知识产权管理、保密管理、安全管理、信用管理等；</w:t>
      </w:r>
    </w:p>
    <w:p w14:paraId="7BF2E302">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（五）如实报告项目年度执行和经费使用情况，及时报告项目实施中出现的重要事项；</w:t>
      </w:r>
    </w:p>
    <w:p w14:paraId="2FFBB6AB">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（六）接受并配合市科技局、市财政局等部门及受委托的项目管理专业机构对项目实施和经费使用情况的监督检查、审计评估等，如实提供相关数据和资料；</w:t>
      </w:r>
    </w:p>
    <w:p w14:paraId="669B8A2C">
      <w:pPr>
        <w:spacing w:line="550" w:lineRule="exact"/>
        <w:ind w:firstLine="640" w:firstLineChars="200"/>
        <w:rPr>
          <w:rFonts w:ascii="方正仿宋_GBK" w:eastAsia="方正仿宋_GBK"/>
          <w:sz w:val="32"/>
          <w:szCs w:val="32"/>
        </w:rPr>
      </w:pPr>
      <w:r>
        <w:rPr>
          <w:rFonts w:hint="eastAsia" w:ascii="方正仿宋_GBK" w:hAnsi="Calibri" w:eastAsia="方正仿宋_GBK" w:cs="Times New Roman"/>
          <w:sz w:val="32"/>
          <w:szCs w:val="32"/>
        </w:rPr>
        <w:t>（七）履行保密、知识产权保护等责任和义务，推动项目成果转化应用；</w:t>
      </w:r>
    </w:p>
    <w:p w14:paraId="7810A1D5">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（八）法律、法规、规章规定的其他职责。</w:t>
      </w:r>
    </w:p>
    <w:p w14:paraId="311D5F24">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第十三条</w:t>
      </w:r>
      <w:r>
        <w:rPr>
          <w:rFonts w:ascii="方正仿宋_GBK" w:eastAsia="方正仿宋_GBK"/>
          <w:sz w:val="32"/>
          <w:szCs w:val="32"/>
        </w:rPr>
        <w:t xml:space="preserve">  </w:t>
      </w:r>
      <w:r>
        <w:rPr>
          <w:rFonts w:hint="eastAsia" w:ascii="方正仿宋_GBK" w:eastAsia="方正仿宋_GBK"/>
          <w:sz w:val="32"/>
          <w:szCs w:val="32"/>
        </w:rPr>
        <w:t>项</w:t>
      </w:r>
      <w:r>
        <w:rPr>
          <w:rFonts w:hint="eastAsia" w:ascii="方正仿宋_GBK" w:eastAsia="方正仿宋_GBK"/>
          <w:spacing w:val="-6"/>
          <w:sz w:val="32"/>
          <w:szCs w:val="32"/>
        </w:rPr>
        <w:t>目管理专业机构是经市科技局遴选确定的，具有独立法人资格和科研项目管理能力，受托承担市科技计划项目管理工作的企事业单位或社会化科技服务机构，主要职责有</w:t>
      </w:r>
      <w:r>
        <w:rPr>
          <w:rFonts w:hint="eastAsia" w:ascii="方正仿宋_GBK" w:eastAsia="方正仿宋_GBK"/>
          <w:sz w:val="32"/>
          <w:szCs w:val="32"/>
        </w:rPr>
        <w:t>：</w:t>
      </w:r>
    </w:p>
    <w:p w14:paraId="022597B3">
      <w:pPr>
        <w:spacing w:line="550" w:lineRule="exact"/>
        <w:ind w:firstLine="640" w:firstLineChars="200"/>
        <w:rPr>
          <w:rFonts w:hint="eastAsia" w:ascii="方正仿宋_GBK" w:eastAsia="方正仿宋_GBK"/>
          <w:sz w:val="32"/>
          <w:szCs w:val="32"/>
        </w:rPr>
      </w:pPr>
      <w:r>
        <w:rPr>
          <w:rFonts w:hint="eastAsia" w:ascii="方正仿宋_GBK" w:eastAsia="方正仿宋_GBK"/>
          <w:sz w:val="32"/>
          <w:szCs w:val="32"/>
        </w:rPr>
        <w:t>（一）受托承担市科技计划项目的申报受理、形式审查、评审论证、审核评估、合同签订、中期检查、经费审计、项目验收、监督检查、绩效评价等全过程管理有关工作；</w:t>
      </w:r>
    </w:p>
    <w:p w14:paraId="45A76C82">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（二）受</w:t>
      </w:r>
      <w:r>
        <w:rPr>
          <w:rFonts w:hint="eastAsia" w:ascii="方正仿宋_GBK" w:eastAsia="方正仿宋_GBK"/>
          <w:spacing w:val="-17"/>
          <w:sz w:val="32"/>
          <w:szCs w:val="32"/>
        </w:rPr>
        <w:t>托协助有关机构日常维护市科技计划项目管理系统</w:t>
      </w:r>
      <w:r>
        <w:rPr>
          <w:rFonts w:hint="eastAsia" w:ascii="方正仿宋_GBK" w:eastAsia="方正仿宋_GBK"/>
          <w:sz w:val="32"/>
          <w:szCs w:val="32"/>
        </w:rPr>
        <w:t>；</w:t>
      </w:r>
    </w:p>
    <w:p w14:paraId="42FA9EDA">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（三）受托建设、管理和维护市科技专家库；</w:t>
      </w:r>
    </w:p>
    <w:p w14:paraId="23ACF30E">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（四）接受市科技局的业务指导和监督；</w:t>
      </w:r>
    </w:p>
    <w:p w14:paraId="3CF51C1B">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（五）法律、法规、规章规定的其他职责。</w:t>
      </w:r>
    </w:p>
    <w:p w14:paraId="2243FE3E">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第十四条</w:t>
      </w:r>
      <w:r>
        <w:rPr>
          <w:rFonts w:ascii="方正仿宋_GBK" w:eastAsia="方正仿宋_GBK"/>
          <w:sz w:val="32"/>
          <w:szCs w:val="32"/>
        </w:rPr>
        <w:t xml:space="preserve">  </w:t>
      </w:r>
      <w:r>
        <w:rPr>
          <w:rFonts w:hint="eastAsia" w:ascii="方正仿宋_GBK" w:eastAsia="方正仿宋_GBK"/>
          <w:sz w:val="32"/>
          <w:szCs w:val="32"/>
        </w:rPr>
        <w:t>受委托的评审（咨询）专家及其他科技服务中介机构，根据受托事项，客观公正规范地履行相应职责。 </w:t>
      </w:r>
    </w:p>
    <w:p w14:paraId="257D6079">
      <w:pPr>
        <w:spacing w:before="156" w:beforeLines="50" w:after="156" w:afterLines="50" w:line="550" w:lineRule="exact"/>
        <w:jc w:val="center"/>
        <w:rPr>
          <w:rFonts w:ascii="方正黑体_GBK" w:eastAsia="方正黑体_GBK"/>
          <w:sz w:val="32"/>
          <w:szCs w:val="32"/>
        </w:rPr>
      </w:pPr>
      <w:r>
        <w:rPr>
          <w:rFonts w:hint="eastAsia" w:ascii="方正黑体_GBK" w:eastAsia="方正黑体_GBK"/>
          <w:sz w:val="32"/>
          <w:szCs w:val="32"/>
        </w:rPr>
        <w:t>项目指南编制与申报组织</w:t>
      </w:r>
    </w:p>
    <w:p w14:paraId="55EAD487">
      <w:pPr>
        <w:spacing w:line="550" w:lineRule="exact"/>
        <w:ind w:firstLine="624" w:firstLineChars="200"/>
        <w:rPr>
          <w:rFonts w:ascii="方正仿宋_GBK" w:eastAsia="方正仿宋_GBK"/>
          <w:spacing w:val="-4"/>
          <w:sz w:val="32"/>
          <w:szCs w:val="32"/>
        </w:rPr>
      </w:pPr>
      <w:r>
        <w:rPr>
          <w:rFonts w:hint="eastAsia" w:ascii="方正黑体_GBK" w:eastAsia="方正黑体_GBK"/>
          <w:spacing w:val="-4"/>
          <w:sz w:val="32"/>
          <w:szCs w:val="32"/>
        </w:rPr>
        <w:t>第十五条</w:t>
      </w:r>
      <w:r>
        <w:rPr>
          <w:rFonts w:ascii="方正仿宋_GBK" w:eastAsia="方正仿宋_GBK"/>
          <w:spacing w:val="-4"/>
          <w:sz w:val="32"/>
          <w:szCs w:val="32"/>
        </w:rPr>
        <w:t xml:space="preserve">  </w:t>
      </w:r>
      <w:r>
        <w:rPr>
          <w:rFonts w:hint="eastAsia" w:ascii="方正仿宋_GBK" w:eastAsia="方正仿宋_GBK"/>
          <w:spacing w:val="-4"/>
          <w:sz w:val="32"/>
          <w:szCs w:val="32"/>
        </w:rPr>
        <w:t>市科技局根据市科技创新规划和市委市政府重点工作部署，结合计划定位，编制年度市科技计划项目指南和申报通知，会市财政局后向社会公开发布。</w:t>
      </w:r>
    </w:p>
    <w:p w14:paraId="2CE81F54">
      <w:pPr>
        <w:wordWrap w:val="0"/>
        <w:overflowPunct/>
        <w:spacing w:line="550" w:lineRule="exact"/>
        <w:ind w:firstLine="640" w:firstLineChars="200"/>
        <w:jc w:val="both"/>
        <w:rPr>
          <w:rFonts w:ascii="方正黑体_GBK" w:eastAsia="方正黑体_GBK"/>
          <w:sz w:val="32"/>
          <w:szCs w:val="32"/>
        </w:rPr>
      </w:pPr>
      <w:r>
        <w:rPr>
          <w:rFonts w:hint="eastAsia" w:ascii="方正黑体_GBK" w:eastAsia="方正黑体_GBK"/>
          <w:sz w:val="32"/>
          <w:szCs w:val="32"/>
        </w:rPr>
        <w:t xml:space="preserve">第十六条  </w:t>
      </w:r>
      <w:r>
        <w:rPr>
          <w:rFonts w:hint="eastAsia" w:ascii="方正仿宋_GBK" w:eastAsia="方正仿宋_GBK"/>
          <w:spacing w:val="-4"/>
          <w:sz w:val="32"/>
          <w:szCs w:val="32"/>
        </w:rPr>
        <w:t>指南编制应按照需求导向和问题导向，采取公开征集、调研座谈、专家论证（咨询）等形式，广泛听取部门、企业</w:t>
      </w:r>
      <w:r>
        <w:rPr>
          <w:rFonts w:hint="eastAsia" w:ascii="方正仿宋_GBK" w:eastAsia="方正仿宋_GBK"/>
          <w:sz w:val="32"/>
          <w:szCs w:val="32"/>
        </w:rPr>
        <w:t>、高校院所、地方、行业协会等意见建议。</w:t>
      </w:r>
    </w:p>
    <w:p w14:paraId="60069CA6">
      <w:pPr>
        <w:spacing w:line="550" w:lineRule="exact"/>
        <w:ind w:firstLine="640" w:firstLineChars="200"/>
        <w:rPr>
          <w:rFonts w:hint="eastAsia" w:ascii="方正仿宋_GBK" w:hAnsi="方正仿宋_GBK" w:eastAsia="方正仿宋_GBK" w:cs="方正仿宋_GBK"/>
          <w:sz w:val="32"/>
          <w:szCs w:val="32"/>
        </w:rPr>
      </w:pPr>
      <w:r>
        <w:rPr>
          <w:rFonts w:hint="eastAsia" w:ascii="方正黑体_GBK" w:eastAsia="方正黑体_GBK"/>
          <w:sz w:val="32"/>
          <w:szCs w:val="32"/>
        </w:rPr>
        <w:t>第十七条</w:t>
      </w:r>
      <w:r>
        <w:rPr>
          <w:rFonts w:hint="eastAsia" w:ascii="方正仿宋_GBK" w:eastAsia="方正仿宋_GBK"/>
          <w:sz w:val="32"/>
          <w:szCs w:val="32"/>
        </w:rPr>
        <w:t xml:space="preserve">  </w:t>
      </w:r>
      <w:r>
        <w:rPr>
          <w:rFonts w:hint="eastAsia" w:ascii="方正仿宋_GBK" w:hAnsi="方正仿宋_GBK" w:eastAsia="方正仿宋_GBK" w:cs="方正仿宋_GBK"/>
          <w:color w:val="000000"/>
          <w:sz w:val="32"/>
          <w:szCs w:val="32"/>
        </w:rPr>
        <w:t>项目申报单位和项目负责人应当符合下列基本条件：</w:t>
      </w:r>
    </w:p>
    <w:p w14:paraId="78B482EA">
      <w:pPr>
        <w:pStyle w:val="6"/>
        <w:widowControl w:val="0"/>
        <w:spacing w:before="0" w:beforeAutospacing="0" w:after="0" w:afterAutospacing="0" w:line="550" w:lineRule="exact"/>
        <w:ind w:firstLine="640"/>
        <w:jc w:val="both"/>
        <w:rPr>
          <w:rFonts w:hint="eastAsia" w:ascii="方正仿宋_GBK" w:hAnsi="方正仿宋_GBK" w:eastAsia="方正仿宋_GBK" w:cs="方正仿宋_GBK"/>
          <w:color w:val="333333"/>
          <w:sz w:val="21"/>
          <w:szCs w:val="21"/>
        </w:rPr>
      </w:pPr>
      <w:r>
        <w:rPr>
          <w:rFonts w:hint="eastAsia" w:ascii="方正仿宋_GBK" w:hAnsi="方正仿宋_GBK" w:eastAsia="方正仿宋_GBK" w:cs="方正仿宋_GBK"/>
          <w:color w:val="000000"/>
          <w:sz w:val="32"/>
          <w:szCs w:val="32"/>
        </w:rPr>
        <w:t>（一）项</w:t>
      </w:r>
      <w:r>
        <w:rPr>
          <w:rFonts w:hint="eastAsia" w:ascii="方正仿宋_GBK" w:hAnsi="方正仿宋_GBK" w:eastAsia="方正仿宋_GBK" w:cs="方正仿宋_GBK"/>
          <w:color w:val="000000"/>
          <w:spacing w:val="-6"/>
          <w:sz w:val="32"/>
          <w:szCs w:val="32"/>
        </w:rPr>
        <w:t>目申报单位应当具有项目实施的基础条件和保障能力，具有良好的信誉、健全的组织机构、完善的财务会计制度</w:t>
      </w:r>
      <w:r>
        <w:rPr>
          <w:rFonts w:hint="eastAsia" w:ascii="方正仿宋_GBK" w:hAnsi="方正仿宋_GBK" w:eastAsia="方正仿宋_GBK" w:cs="方正仿宋_GBK"/>
          <w:color w:val="000000"/>
          <w:sz w:val="32"/>
          <w:szCs w:val="32"/>
        </w:rPr>
        <w:t>；</w:t>
      </w:r>
    </w:p>
    <w:p w14:paraId="400F3974">
      <w:pPr>
        <w:pStyle w:val="6"/>
        <w:widowControl w:val="0"/>
        <w:spacing w:before="0" w:beforeAutospacing="0" w:after="0" w:afterAutospacing="0" w:line="550" w:lineRule="exact"/>
        <w:ind w:firstLine="640"/>
        <w:jc w:val="both"/>
        <w:rPr>
          <w:rFonts w:hint="eastAsia" w:ascii="方正仿宋_GBK" w:hAnsi="方正仿宋_GBK" w:eastAsia="方正仿宋_GBK" w:cs="方正仿宋_GBK"/>
          <w:color w:val="333333"/>
          <w:sz w:val="21"/>
          <w:szCs w:val="21"/>
        </w:rPr>
      </w:pPr>
      <w:r>
        <w:rPr>
          <w:rFonts w:hint="eastAsia" w:ascii="方正仿宋_GBK" w:hAnsi="方正仿宋_GBK" w:eastAsia="方正仿宋_GBK" w:cs="方正仿宋_GBK"/>
          <w:color w:val="000000"/>
          <w:sz w:val="32"/>
          <w:szCs w:val="32"/>
        </w:rPr>
        <w:t>（二）项目负责人应当具有完成项目所需的专业技术能力和组织管理协调能力；</w:t>
      </w:r>
    </w:p>
    <w:p w14:paraId="231BE717">
      <w:pPr>
        <w:pStyle w:val="6"/>
        <w:widowControl w:val="0"/>
        <w:spacing w:before="0" w:beforeAutospacing="0" w:after="0" w:afterAutospacing="0" w:line="550" w:lineRule="exact"/>
        <w:ind w:firstLine="640"/>
        <w:jc w:val="both"/>
        <w:rPr>
          <w:rFonts w:hint="eastAsia" w:ascii="方正仿宋_GBK" w:hAnsi="方正仿宋_GBK" w:eastAsia="方正仿宋_GBK" w:cs="方正仿宋_GBK"/>
          <w:color w:val="333333"/>
          <w:sz w:val="21"/>
          <w:szCs w:val="21"/>
        </w:rPr>
      </w:pPr>
      <w:r>
        <w:rPr>
          <w:rFonts w:hint="eastAsia" w:ascii="方正仿宋_GBK" w:hAnsi="方正仿宋_GBK" w:eastAsia="方正仿宋_GBK" w:cs="方正仿宋_GBK"/>
          <w:color w:val="000000"/>
          <w:sz w:val="32"/>
          <w:szCs w:val="32"/>
        </w:rPr>
        <w:t>（三）年度市科技计划项目指南和申报通知另有要求的，按其要求。</w:t>
      </w:r>
    </w:p>
    <w:p w14:paraId="007D2FEE">
      <w:pPr>
        <w:spacing w:line="55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 xml:space="preserve">第十八条  </w:t>
      </w:r>
      <w:r>
        <w:rPr>
          <w:rFonts w:hint="eastAsia" w:ascii="方正仿宋_GBK" w:eastAsia="方正仿宋_GBK"/>
          <w:sz w:val="32"/>
          <w:szCs w:val="32"/>
        </w:rPr>
        <w:t>项目申报单位和项目负责人申报限制：</w:t>
      </w:r>
    </w:p>
    <w:p w14:paraId="5DA47761">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（一）存在不良科研、社会信用记录的单位和个人，根据科研信用管理有关规定实行申报限制；</w:t>
      </w:r>
    </w:p>
    <w:p w14:paraId="0984ADBE">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（二）有应结未结市科技计划项目的项目负责人不得继续申报；</w:t>
      </w:r>
    </w:p>
    <w:p w14:paraId="420A075F">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（三）对项目到期未按要求提交验收材料的单位实行申报限制，申报单位为高校的，可限制到二级院系；</w:t>
      </w:r>
    </w:p>
    <w:p w14:paraId="15C9ADF1">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（四）项目结题率不符合要求的单位不得继续申报同类型的市科技计划项目。</w:t>
      </w:r>
    </w:p>
    <w:p w14:paraId="7522B5A3">
      <w:pPr>
        <w:tabs>
          <w:tab w:val="left" w:pos="180"/>
        </w:tabs>
        <w:snapToGrid w:val="0"/>
        <w:spacing w:line="550" w:lineRule="exact"/>
        <w:ind w:firstLine="600"/>
        <w:rPr>
          <w:rFonts w:ascii="方正仿宋_GBK" w:eastAsia="方正仿宋_GBK"/>
          <w:sz w:val="32"/>
          <w:szCs w:val="32"/>
        </w:rPr>
      </w:pPr>
      <w:r>
        <w:rPr>
          <w:rFonts w:hint="eastAsia" w:ascii="方正黑体_GBK" w:eastAsia="方正黑体_GBK"/>
          <w:sz w:val="32"/>
          <w:szCs w:val="32"/>
        </w:rPr>
        <w:t>第十九条</w:t>
      </w:r>
      <w:r>
        <w:rPr>
          <w:rFonts w:ascii="方正仿宋_GBK" w:eastAsia="方正仿宋_GBK"/>
          <w:sz w:val="32"/>
          <w:szCs w:val="32"/>
        </w:rPr>
        <w:t xml:space="preserve">  </w:t>
      </w:r>
      <w:r>
        <w:rPr>
          <w:rFonts w:hint="eastAsia" w:ascii="方正仿宋_GBK" w:eastAsia="方正仿宋_GBK"/>
          <w:sz w:val="32"/>
          <w:szCs w:val="32"/>
        </w:rPr>
        <w:t>申报的项目应具有明确的实施内容、实施进度、考核指标、经费预算等，且不涉及国家机密、商业秘密和个人隐私等。</w:t>
      </w:r>
    </w:p>
    <w:p w14:paraId="4F9F2C2B">
      <w:pPr>
        <w:spacing w:line="550" w:lineRule="exact"/>
        <w:ind w:firstLine="640" w:firstLineChars="200"/>
        <w:rPr>
          <w:rFonts w:hint="eastAsia" w:ascii="方正仿宋_GBK" w:eastAsia="方正仿宋_GBK"/>
          <w:sz w:val="32"/>
          <w:szCs w:val="32"/>
        </w:rPr>
      </w:pPr>
      <w:r>
        <w:rPr>
          <w:rFonts w:hint="eastAsia" w:ascii="方正黑体_GBK" w:eastAsia="方正黑体_GBK"/>
          <w:sz w:val="32"/>
          <w:szCs w:val="32"/>
        </w:rPr>
        <w:t>第二十条</w:t>
      </w:r>
      <w:r>
        <w:rPr>
          <w:rFonts w:ascii="方正仿宋_GBK" w:eastAsia="方正仿宋_GBK"/>
          <w:sz w:val="32"/>
          <w:szCs w:val="32"/>
        </w:rPr>
        <w:t xml:space="preserve">  </w:t>
      </w:r>
      <w:r>
        <w:rPr>
          <w:rFonts w:hint="eastAsia" w:ascii="方正仿宋_GBK" w:eastAsia="方正仿宋_GBK"/>
          <w:sz w:val="32"/>
          <w:szCs w:val="32"/>
        </w:rPr>
        <w:t>项目申报原则上采取属地化管理，由项目主管部门会同同级财政部门对管理范围内有关单位提交的项目申报材料进行审核，出具推荐意见。市直单位申报的项目可由市行政主管部门审查推荐；在宿本科类高校、省级以上科研院所等单位申报的项目由其单位科技管理部门审查，单位推荐。</w:t>
      </w:r>
    </w:p>
    <w:p w14:paraId="60ED7241">
      <w:pPr>
        <w:spacing w:line="550" w:lineRule="exact"/>
        <w:ind w:firstLine="640" w:firstLineChars="200"/>
        <w:rPr>
          <w:rFonts w:hint="eastAsia" w:ascii="方正仿宋_GBK" w:eastAsia="方正仿宋_GBK"/>
          <w:sz w:val="32"/>
          <w:szCs w:val="32"/>
        </w:rPr>
      </w:pPr>
      <w:r>
        <w:rPr>
          <w:rFonts w:hint="eastAsia" w:ascii="方正黑体_GBK" w:eastAsia="方正黑体_GBK"/>
          <w:sz w:val="32"/>
          <w:szCs w:val="32"/>
        </w:rPr>
        <w:t>第二十一条</w:t>
      </w:r>
      <w:r>
        <w:rPr>
          <w:rFonts w:ascii="方正仿宋_GBK" w:eastAsia="方正仿宋_GBK"/>
          <w:sz w:val="32"/>
          <w:szCs w:val="32"/>
        </w:rPr>
        <w:t xml:space="preserve">  </w:t>
      </w:r>
      <w:r>
        <w:rPr>
          <w:rFonts w:hint="eastAsia" w:ascii="方正仿宋_GBK" w:eastAsia="方正仿宋_GBK"/>
          <w:sz w:val="32"/>
          <w:szCs w:val="32"/>
        </w:rPr>
        <w:t>市科技局或受托项目管理专业机构对经项目主管部门推荐的申报项目进行受理审查和信用审查。</w:t>
      </w:r>
    </w:p>
    <w:p w14:paraId="2BAC750A">
      <w:pPr>
        <w:keepNext/>
        <w:spacing w:before="156" w:beforeLines="50" w:after="156" w:afterLines="50" w:line="55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项目评审与立项</w:t>
      </w:r>
    </w:p>
    <w:p w14:paraId="1212BF80">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第二十二条</w:t>
      </w:r>
      <w:r>
        <w:rPr>
          <w:rFonts w:hint="eastAsia" w:ascii="方正仿宋_GBK" w:eastAsia="方正仿宋_GBK"/>
          <w:sz w:val="32"/>
          <w:szCs w:val="32"/>
        </w:rPr>
        <w:t xml:space="preserve">  市</w:t>
      </w:r>
      <w:r>
        <w:rPr>
          <w:rFonts w:hint="eastAsia" w:ascii="方正仿宋_GBK" w:eastAsia="方正仿宋_GBK"/>
          <w:spacing w:val="-6"/>
          <w:sz w:val="32"/>
          <w:szCs w:val="32"/>
        </w:rPr>
        <w:t>科技计划项目评审咨询由市科技局自主组织或委托项目管理专业机构组织开展，按照不同遴选立项方式</w:t>
      </w:r>
      <w:r>
        <w:rPr>
          <w:rFonts w:hint="eastAsia" w:ascii="Times New Roman" w:eastAsia="方正仿宋_GBK"/>
          <w:spacing w:val="-6"/>
          <w:kern w:val="0"/>
          <w:sz w:val="32"/>
          <w:szCs w:val="32"/>
        </w:rPr>
        <w:t>可采取会议评审、网络评审、专家论证、视频答辩等</w:t>
      </w:r>
      <w:r>
        <w:rPr>
          <w:rFonts w:hint="eastAsia" w:ascii="方正仿宋_GBK" w:eastAsia="方正仿宋_GBK"/>
          <w:spacing w:val="-6"/>
          <w:sz w:val="32"/>
          <w:szCs w:val="32"/>
        </w:rPr>
        <w:t>评审</w:t>
      </w:r>
      <w:r>
        <w:rPr>
          <w:rFonts w:hint="eastAsia" w:ascii="Times New Roman" w:eastAsia="方正仿宋_GBK"/>
          <w:spacing w:val="-6"/>
          <w:kern w:val="0"/>
          <w:sz w:val="32"/>
          <w:szCs w:val="32"/>
        </w:rPr>
        <w:t>方式</w:t>
      </w:r>
      <w:r>
        <w:rPr>
          <w:rFonts w:hint="eastAsia" w:ascii="方正仿宋_GBK" w:eastAsia="方正仿宋_GBK"/>
          <w:spacing w:val="-6"/>
          <w:sz w:val="32"/>
          <w:szCs w:val="32"/>
        </w:rPr>
        <w:t>和方法，评审咨询意见作为市科技计划项目立项的重要参考依据</w:t>
      </w:r>
      <w:r>
        <w:rPr>
          <w:rFonts w:hint="eastAsia" w:ascii="方正仿宋_GBK" w:eastAsia="方正仿宋_GBK"/>
          <w:sz w:val="32"/>
          <w:szCs w:val="32"/>
        </w:rPr>
        <w:t>。</w:t>
      </w:r>
    </w:p>
    <w:p w14:paraId="7449542F">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第二十三条</w:t>
      </w:r>
      <w:r>
        <w:rPr>
          <w:rFonts w:ascii="方正仿宋_GBK" w:eastAsia="方正仿宋_GBK"/>
          <w:sz w:val="32"/>
          <w:szCs w:val="32"/>
        </w:rPr>
        <w:t xml:space="preserve">  </w:t>
      </w:r>
      <w:r>
        <w:rPr>
          <w:rFonts w:hint="eastAsia" w:ascii="方正仿宋_GBK" w:eastAsia="方正仿宋_GBK"/>
          <w:sz w:val="32"/>
          <w:szCs w:val="32"/>
        </w:rPr>
        <w:t>前资助项目应突出竞争择优原则，合理分组、随机选择省市科技专家库内评审专家进行会议评审或网络评审，视项目情况可增加现场答辩、现场考察等环节，形成综合评审咨询意见；重大项目和重点项目应进行现场考察。后补助项目应突出合规审核，可委托项目管理专业机构进行审查并出具咨询意见。定向组织项目应重点围绕市委市政府决策要求落实，可采用专家论证方式形成咨询意见。</w:t>
      </w:r>
    </w:p>
    <w:p w14:paraId="3C2F823D">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第二十四条</w:t>
      </w:r>
      <w:r>
        <w:rPr>
          <w:rFonts w:ascii="方正黑体_GBK" w:eastAsia="方正黑体_GBK"/>
          <w:sz w:val="32"/>
          <w:szCs w:val="32"/>
        </w:rPr>
        <w:t xml:space="preserve"> </w:t>
      </w:r>
      <w:r>
        <w:rPr>
          <w:rFonts w:ascii="方正仿宋_GBK" w:eastAsia="方正仿宋_GBK"/>
          <w:sz w:val="32"/>
          <w:szCs w:val="32"/>
        </w:rPr>
        <w:t xml:space="preserve"> </w:t>
      </w:r>
      <w:r>
        <w:rPr>
          <w:rFonts w:hint="eastAsia" w:ascii="方正仿宋_GBK" w:eastAsia="方正仿宋_GBK"/>
          <w:sz w:val="32"/>
          <w:szCs w:val="32"/>
        </w:rPr>
        <w:t>市科技局根据计划定位制定市科技计划项目评审工作规则，明确评审专家组构成、评审专家产生方式、项目评价指标和评分标准、评审咨询意见格式等。评审实行专家轮换、回避、保密等制度。</w:t>
      </w:r>
    </w:p>
    <w:p w14:paraId="05A43F0C">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第二十五条</w:t>
      </w:r>
      <w:r>
        <w:rPr>
          <w:rFonts w:ascii="方正仿宋_GBK" w:eastAsia="方正仿宋_GBK"/>
          <w:sz w:val="32"/>
          <w:szCs w:val="32"/>
        </w:rPr>
        <w:t xml:space="preserve">  </w:t>
      </w:r>
      <w:r>
        <w:rPr>
          <w:rFonts w:hint="eastAsia" w:ascii="方正仿宋_GBK" w:eastAsia="方正仿宋_GBK"/>
          <w:sz w:val="32"/>
          <w:szCs w:val="32"/>
        </w:rPr>
        <w:t>市科技局根据评审咨询意见，</w:t>
      </w:r>
      <w:r>
        <w:rPr>
          <w:rFonts w:hint="eastAsia" w:ascii="方正仿宋_GBK" w:hAnsi="Calibri" w:eastAsia="方正仿宋_GBK" w:cs="Times New Roman"/>
          <w:sz w:val="32"/>
          <w:szCs w:val="32"/>
        </w:rPr>
        <w:t>结合年度</w:t>
      </w:r>
      <w:r>
        <w:rPr>
          <w:rFonts w:hint="eastAsia" w:ascii="方正仿宋_GBK" w:eastAsia="方正仿宋_GBK"/>
          <w:sz w:val="32"/>
          <w:szCs w:val="32"/>
        </w:rPr>
        <w:t>市级科技创新专项资金</w:t>
      </w:r>
      <w:r>
        <w:rPr>
          <w:rFonts w:hint="eastAsia" w:ascii="方正仿宋_GBK" w:hAnsi="Calibri" w:eastAsia="方正仿宋_GBK" w:cs="Times New Roman"/>
          <w:sz w:val="32"/>
          <w:szCs w:val="32"/>
        </w:rPr>
        <w:t>预算，研究提出项目安排及</w:t>
      </w:r>
      <w:r>
        <w:rPr>
          <w:rFonts w:hint="eastAsia" w:ascii="方正仿宋_GBK" w:eastAsia="方正仿宋_GBK"/>
          <w:sz w:val="32"/>
          <w:szCs w:val="32"/>
        </w:rPr>
        <w:t>经费配置建议方案</w:t>
      </w:r>
      <w:r>
        <w:rPr>
          <w:rFonts w:hint="eastAsia" w:ascii="方正仿宋_GBK" w:hAnsi="Calibri" w:eastAsia="方正仿宋_GBK" w:cs="Times New Roman"/>
          <w:sz w:val="32"/>
          <w:szCs w:val="32"/>
        </w:rPr>
        <w:t>，会商</w:t>
      </w:r>
      <w:r>
        <w:rPr>
          <w:rFonts w:hint="eastAsia" w:ascii="方正仿宋_GBK" w:eastAsia="方正仿宋_GBK"/>
          <w:sz w:val="32"/>
          <w:szCs w:val="32"/>
        </w:rPr>
        <w:t>市财政局</w:t>
      </w:r>
      <w:r>
        <w:rPr>
          <w:rFonts w:hint="eastAsia" w:ascii="方正仿宋_GBK" w:hAnsi="Calibri" w:eastAsia="方正仿宋_GBK" w:cs="Times New Roman"/>
          <w:sz w:val="32"/>
          <w:szCs w:val="32"/>
        </w:rPr>
        <w:t>后，将拟立项目清单向社会公示</w:t>
      </w:r>
      <w:r>
        <w:rPr>
          <w:rFonts w:hint="eastAsia" w:ascii="方正仿宋_GBK" w:eastAsia="方正仿宋_GBK"/>
          <w:sz w:val="32"/>
          <w:szCs w:val="32"/>
        </w:rPr>
        <w:t>。公示无异议的，报市政府审批后给予立项。</w:t>
      </w:r>
    </w:p>
    <w:p w14:paraId="09135D85">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第二十六条</w:t>
      </w:r>
      <w:r>
        <w:rPr>
          <w:rFonts w:ascii="方正仿宋_GBK" w:eastAsia="方正仿宋_GBK"/>
          <w:sz w:val="32"/>
          <w:szCs w:val="32"/>
        </w:rPr>
        <w:t xml:space="preserve">  </w:t>
      </w:r>
      <w:r>
        <w:rPr>
          <w:rFonts w:hint="eastAsia" w:ascii="方正仿宋_GBK" w:eastAsia="方正仿宋_GBK"/>
          <w:sz w:val="32"/>
          <w:szCs w:val="32"/>
        </w:rPr>
        <w:t>市科技局会同市财政局下达年度市科技计划项目和资金。立项文件印发后，承担单位应及时与市科技局、项目主管部门签订项目合同书，不签订项目合同书的视同自动放弃，撤销立项。</w:t>
      </w:r>
      <w:r>
        <w:rPr>
          <w:rFonts w:hint="eastAsia" w:ascii="方正仿宋_GBK" w:hAnsi="方正仿宋_GBK" w:eastAsia="方正仿宋_GBK" w:cs="方正仿宋_GBK"/>
          <w:color w:val="000000"/>
          <w:sz w:val="32"/>
          <w:szCs w:val="32"/>
        </w:rPr>
        <w:t>奖励性后补助项目可不签订合同书。</w:t>
      </w:r>
    </w:p>
    <w:p w14:paraId="46F76699">
      <w:pPr>
        <w:spacing w:before="156" w:beforeLines="50" w:after="156" w:afterLines="50" w:line="550" w:lineRule="exact"/>
        <w:jc w:val="center"/>
        <w:rPr>
          <w:rFonts w:ascii="方正黑体_GBK" w:eastAsia="方正黑体_GBK"/>
          <w:sz w:val="32"/>
          <w:szCs w:val="32"/>
        </w:rPr>
      </w:pPr>
      <w:r>
        <w:rPr>
          <w:rFonts w:hint="eastAsia" w:ascii="方正黑体_GBK" w:eastAsia="方正黑体_GBK"/>
          <w:sz w:val="32"/>
          <w:szCs w:val="32"/>
        </w:rPr>
        <w:t>项目实施</w:t>
      </w:r>
    </w:p>
    <w:p w14:paraId="1C27C6AA">
      <w:pPr>
        <w:spacing w:line="550" w:lineRule="exact"/>
        <w:ind w:firstLine="627" w:firstLineChars="196"/>
        <w:rPr>
          <w:rFonts w:ascii="方正仿宋_GBK" w:eastAsia="方正仿宋_GBK"/>
          <w:sz w:val="32"/>
          <w:szCs w:val="32"/>
        </w:rPr>
      </w:pPr>
      <w:r>
        <w:rPr>
          <w:rFonts w:hint="eastAsia" w:ascii="方正黑体_GBK" w:eastAsia="方正黑体_GBK"/>
          <w:sz w:val="32"/>
          <w:szCs w:val="32"/>
        </w:rPr>
        <w:t>第二十七条</w:t>
      </w:r>
      <w:r>
        <w:rPr>
          <w:rFonts w:ascii="方正仿宋_GBK" w:eastAsia="方正仿宋_GBK"/>
          <w:sz w:val="32"/>
          <w:szCs w:val="32"/>
        </w:rPr>
        <w:t xml:space="preserve">  </w:t>
      </w:r>
      <w:r>
        <w:rPr>
          <w:rFonts w:hint="eastAsia" w:ascii="方正仿宋_GBK" w:eastAsia="方正仿宋_GBK"/>
          <w:sz w:val="32"/>
          <w:szCs w:val="32"/>
        </w:rPr>
        <w:t>项目实施期原则</w:t>
      </w:r>
      <w:r>
        <w:rPr>
          <w:rFonts w:hint="eastAsia" w:ascii="Times New Roman" w:eastAsia="方正仿宋_GBK" w:cs="Times New Roman"/>
          <w:sz w:val="32"/>
          <w:szCs w:val="32"/>
        </w:rPr>
        <w:t>上</w:t>
      </w:r>
      <w:r>
        <w:rPr>
          <w:rFonts w:hint="eastAsia" w:ascii="方正仿宋_GBK" w:eastAsia="方正仿宋_GBK"/>
          <w:sz w:val="32"/>
          <w:szCs w:val="32"/>
        </w:rPr>
        <w:t>不超</w:t>
      </w:r>
      <w:r>
        <w:rPr>
          <w:rFonts w:hint="eastAsia" w:ascii="Times New Roman" w:eastAsia="方正仿宋_GBK" w:cs="Times New Roman"/>
          <w:sz w:val="32"/>
          <w:szCs w:val="32"/>
        </w:rPr>
        <w:t>过</w:t>
      </w:r>
      <w:r>
        <w:rPr>
          <w:rFonts w:ascii="Times New Roman" w:eastAsia="方正仿宋_GBK" w:cs="Times New Roman"/>
          <w:sz w:val="32"/>
          <w:szCs w:val="32"/>
        </w:rPr>
        <w:t>3</w:t>
      </w:r>
      <w:r>
        <w:rPr>
          <w:rFonts w:hint="eastAsia" w:ascii="方正仿宋_GBK" w:eastAsia="方正仿宋_GBK"/>
          <w:sz w:val="32"/>
          <w:szCs w:val="32"/>
        </w:rPr>
        <w:t>年。</w:t>
      </w:r>
      <w:r>
        <w:rPr>
          <w:rFonts w:hint="eastAsia" w:ascii="Times New Roman" w:eastAsia="方正仿宋_GBK" w:cs="Times New Roman"/>
          <w:sz w:val="32"/>
          <w:szCs w:val="32"/>
        </w:rPr>
        <w:t>在实施期内，市科技局对重大项目以及其他分年度拨款的项目，应当组织开展阶</w:t>
      </w:r>
      <w:r>
        <w:rPr>
          <w:rFonts w:hint="eastAsia" w:ascii="方正仿宋_GBK" w:eastAsia="方正仿宋_GBK"/>
          <w:sz w:val="32"/>
          <w:szCs w:val="32"/>
        </w:rPr>
        <w:t>段性检查，检查结果作为项目分期拨款的重要依据；</w:t>
      </w:r>
      <w:r>
        <w:rPr>
          <w:rFonts w:hint="eastAsia" w:ascii="Times New Roman" w:eastAsia="方正仿宋_GBK" w:cs="Times New Roman"/>
          <w:sz w:val="32"/>
          <w:szCs w:val="32"/>
        </w:rPr>
        <w:t>对重点项目可以根据实际需要组织开展阶段</w:t>
      </w:r>
      <w:r>
        <w:rPr>
          <w:rFonts w:hint="eastAsia" w:ascii="方正仿宋_GBK" w:eastAsia="方正仿宋_GBK"/>
          <w:sz w:val="32"/>
          <w:szCs w:val="32"/>
        </w:rPr>
        <w:t>性</w:t>
      </w:r>
      <w:r>
        <w:rPr>
          <w:rFonts w:hint="eastAsia" w:ascii="Times New Roman" w:eastAsia="方正仿宋_GBK" w:cs="Times New Roman"/>
          <w:sz w:val="32"/>
          <w:szCs w:val="32"/>
        </w:rPr>
        <w:t>检查</w:t>
      </w:r>
      <w:r>
        <w:rPr>
          <w:rFonts w:hint="eastAsia" w:ascii="方正仿宋_GBK" w:eastAsia="方正仿宋_GBK"/>
          <w:sz w:val="32"/>
          <w:szCs w:val="32"/>
        </w:rPr>
        <w:t>。</w:t>
      </w:r>
    </w:p>
    <w:p w14:paraId="3CFD1B62">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第二十八条</w:t>
      </w:r>
      <w:r>
        <w:rPr>
          <w:rFonts w:ascii="方正仿宋_GBK" w:eastAsia="方正仿宋_GBK"/>
          <w:sz w:val="32"/>
          <w:szCs w:val="32"/>
        </w:rPr>
        <w:t xml:space="preserve">  </w:t>
      </w:r>
      <w:r>
        <w:rPr>
          <w:rFonts w:hint="eastAsia" w:ascii="方正仿宋_GBK" w:eastAsia="方正仿宋_GBK"/>
          <w:sz w:val="32"/>
          <w:szCs w:val="32"/>
        </w:rPr>
        <w:t>项目负责人对项目实施具有选择和调整技术路线的自主权。在不降低研究目标的前提下，项目负责人可以自主组建科研团队，可按照研发创新规律和市场环境变化自主调整研究方案和技术路线，并报项目承担单位办理调剂手续、备案。上述安排和调整均作为项目结题验收、评估评审和审计检查等的依据。</w:t>
      </w:r>
    </w:p>
    <w:p w14:paraId="55105E36">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第二十九条</w:t>
      </w:r>
      <w:r>
        <w:rPr>
          <w:rFonts w:ascii="方正仿宋_GBK" w:eastAsia="方正仿宋_GBK"/>
          <w:sz w:val="32"/>
          <w:szCs w:val="32"/>
        </w:rPr>
        <w:t xml:space="preserve">  </w:t>
      </w:r>
      <w:r>
        <w:rPr>
          <w:rFonts w:hint="eastAsia" w:ascii="方正仿宋_GBK" w:eastAsia="方正仿宋_GBK"/>
          <w:sz w:val="32"/>
          <w:szCs w:val="32"/>
        </w:rPr>
        <w:t>项目如发生项目负责人或承担单位变更、项目主要研究目标或考核指标调整，承担单位须及时提出书面报告，经项目主管部门审查同意后，由项目主管部门报市科技局批准。</w:t>
      </w:r>
    </w:p>
    <w:p w14:paraId="6FFB0EC3">
      <w:pPr>
        <w:spacing w:line="550" w:lineRule="exact"/>
        <w:ind w:firstLine="640" w:firstLineChars="200"/>
        <w:rPr>
          <w:rFonts w:ascii="方正仿宋_GBK" w:eastAsia="方正仿宋_GBK"/>
          <w:spacing w:val="-4"/>
          <w:sz w:val="32"/>
          <w:szCs w:val="32"/>
        </w:rPr>
      </w:pPr>
      <w:r>
        <w:rPr>
          <w:rFonts w:hint="eastAsia" w:ascii="方正黑体_GBK" w:eastAsia="方正黑体_GBK"/>
          <w:sz w:val="32"/>
          <w:szCs w:val="32"/>
        </w:rPr>
        <w:t>第三十条</w:t>
      </w:r>
      <w:r>
        <w:rPr>
          <w:rFonts w:ascii="方正仿宋_GBK" w:eastAsia="方正仿宋_GBK"/>
          <w:sz w:val="32"/>
          <w:szCs w:val="32"/>
        </w:rPr>
        <w:t xml:space="preserve">  </w:t>
      </w:r>
      <w:r>
        <w:rPr>
          <w:rFonts w:hint="eastAsia" w:ascii="方正仿宋_GBK" w:eastAsia="方正仿宋_GBK"/>
          <w:spacing w:val="-4"/>
          <w:sz w:val="32"/>
          <w:szCs w:val="32"/>
        </w:rPr>
        <w:t>因客观原因不能在规定期限内完成全部研究任务，确需延长项目实施期限的，项目承担单位应在项目实施期届满前提出延期申请，项目主管部门审查同意后报市科技局备案。每个项目仅可申请延期</w:t>
      </w:r>
      <w:r>
        <w:rPr>
          <w:rFonts w:ascii="Times New Roman" w:eastAsia="方正仿宋_GBK" w:cs="Times New Roman"/>
          <w:spacing w:val="-4"/>
          <w:sz w:val="32"/>
          <w:szCs w:val="32"/>
        </w:rPr>
        <w:t>1</w:t>
      </w:r>
      <w:r>
        <w:rPr>
          <w:rFonts w:hint="eastAsia" w:ascii="Times New Roman" w:eastAsia="方正仿宋_GBK" w:cs="Times New Roman"/>
          <w:spacing w:val="-4"/>
          <w:sz w:val="32"/>
          <w:szCs w:val="32"/>
        </w:rPr>
        <w:t>次，延期最长不超过</w:t>
      </w:r>
      <w:r>
        <w:rPr>
          <w:rFonts w:ascii="Times New Roman" w:eastAsia="方正仿宋_GBK" w:cs="Times New Roman"/>
          <w:spacing w:val="-4"/>
          <w:sz w:val="32"/>
          <w:szCs w:val="32"/>
        </w:rPr>
        <w:t>12</w:t>
      </w:r>
      <w:r>
        <w:rPr>
          <w:rFonts w:hint="eastAsia" w:ascii="Times New Roman" w:eastAsia="方正仿宋_GBK" w:cs="Times New Roman"/>
          <w:spacing w:val="-4"/>
          <w:sz w:val="32"/>
          <w:szCs w:val="32"/>
        </w:rPr>
        <w:t>个月</w:t>
      </w:r>
      <w:r>
        <w:rPr>
          <w:rFonts w:hint="eastAsia" w:ascii="方正仿宋_GBK" w:eastAsia="方正仿宋_GBK"/>
          <w:spacing w:val="-4"/>
          <w:sz w:val="32"/>
          <w:szCs w:val="32"/>
        </w:rPr>
        <w:t>。报备文件作为项目合同书的补充材料及项目后续实施、管理的依据。</w:t>
      </w:r>
    </w:p>
    <w:p w14:paraId="0D72442E">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第三十一条</w:t>
      </w:r>
      <w:r>
        <w:rPr>
          <w:rFonts w:ascii="方正仿宋_GBK" w:eastAsia="方正仿宋_GBK"/>
          <w:sz w:val="32"/>
          <w:szCs w:val="32"/>
        </w:rPr>
        <w:t xml:space="preserve">  </w:t>
      </w:r>
      <w:r>
        <w:rPr>
          <w:rFonts w:hint="eastAsia" w:ascii="方正仿宋_GBK" w:eastAsia="方正仿宋_GBK"/>
          <w:sz w:val="32"/>
          <w:szCs w:val="32"/>
        </w:rPr>
        <w:t>项目实施过程中，项目主管部门应做好项目的跟踪和监管工作。承担单位出现破产倒闭或其他影响项目正常实施的重大事项，不能履行报告职责的，项目主管部门应及时了解情况，以书面形式向市科技局报告并提出处理意见。</w:t>
      </w:r>
    </w:p>
    <w:p w14:paraId="73AE5D91">
      <w:pPr>
        <w:tabs>
          <w:tab w:val="left" w:pos="180"/>
        </w:tabs>
        <w:snapToGrid w:val="0"/>
        <w:spacing w:line="550" w:lineRule="exact"/>
        <w:ind w:firstLine="640" w:firstLineChars="200"/>
        <w:rPr>
          <w:rFonts w:hint="eastAsia" w:ascii="仿宋_GB2312" w:hAnsi="仿宋" w:eastAsia="仿宋_GB2312"/>
          <w:color w:val="000000"/>
          <w:sz w:val="32"/>
          <w:szCs w:val="32"/>
        </w:rPr>
      </w:pPr>
      <w:r>
        <w:rPr>
          <w:rFonts w:hint="eastAsia" w:ascii="方正黑体_GBK" w:eastAsia="方正黑体_GBK"/>
          <w:sz w:val="32"/>
          <w:szCs w:val="32"/>
        </w:rPr>
        <w:t>第三十二条</w:t>
      </w:r>
      <w:r>
        <w:rPr>
          <w:rFonts w:ascii="方正仿宋_GBK" w:eastAsia="方正仿宋_GBK"/>
          <w:color w:val="FF0000"/>
          <w:sz w:val="32"/>
          <w:szCs w:val="32"/>
        </w:rPr>
        <w:t xml:space="preserve"> </w:t>
      </w:r>
      <w:r>
        <w:rPr>
          <w:rFonts w:ascii="仿宋_GB2312" w:hAnsi="仿宋" w:eastAsia="仿宋_GB2312"/>
          <w:b/>
          <w:color w:val="000000"/>
          <w:sz w:val="32"/>
          <w:szCs w:val="32"/>
        </w:rPr>
        <w:t xml:space="preserve"> </w:t>
      </w:r>
      <w:r>
        <w:rPr>
          <w:rFonts w:hint="eastAsia" w:ascii="方正仿宋_GBK" w:eastAsia="方正仿宋_GBK"/>
          <w:sz w:val="32"/>
          <w:szCs w:val="32"/>
        </w:rPr>
        <w:t>项目形成的研究成果，包括论文、专著、样机、样品等，</w:t>
      </w:r>
      <w:r>
        <w:rPr>
          <w:rFonts w:hint="eastAsia" w:ascii="方正仿宋_GBK" w:eastAsia="方正仿宋_GBK"/>
          <w:bCs/>
          <w:sz w:val="32"/>
          <w:szCs w:val="32"/>
        </w:rPr>
        <w:t>应标</w:t>
      </w:r>
      <w:r>
        <w:rPr>
          <w:rFonts w:hint="eastAsia" w:ascii="方正仿宋_GBK" w:eastAsia="方正仿宋_GBK"/>
          <w:sz w:val="32"/>
          <w:szCs w:val="32"/>
        </w:rPr>
        <w:t>注“宿迁市科技计划资助”（标准英文翻译：</w:t>
      </w:r>
      <w:r>
        <w:rPr>
          <w:rFonts w:hint="eastAsia" w:ascii="Times New Roman" w:eastAsia="方正仿宋_GBK" w:cs="Times New Roman"/>
          <w:sz w:val="32"/>
          <w:szCs w:val="32"/>
        </w:rPr>
        <w:t>Funded</w:t>
      </w:r>
      <w:r>
        <w:rPr>
          <w:rFonts w:ascii="Times New Roman" w:eastAsia="方正仿宋_GBK" w:cs="Times New Roman"/>
          <w:sz w:val="32"/>
          <w:szCs w:val="32"/>
        </w:rPr>
        <w:t xml:space="preserve"> by Suqian Sci&amp;Tech Program</w:t>
      </w:r>
      <w:r>
        <w:rPr>
          <w:rFonts w:hint="eastAsia" w:ascii="Times New Roman" w:eastAsia="方正仿宋_GBK" w:cs="Times New Roman"/>
          <w:sz w:val="32"/>
          <w:szCs w:val="32"/>
        </w:rPr>
        <w:t>）及项目编号（</w:t>
      </w:r>
      <w:r>
        <w:rPr>
          <w:rFonts w:ascii="Times New Roman" w:eastAsia="方正仿宋_GBK" w:cs="Times New Roman"/>
          <w:sz w:val="32"/>
          <w:szCs w:val="32"/>
        </w:rPr>
        <w:t>Grant No .***</w:t>
      </w:r>
      <w:r>
        <w:rPr>
          <w:rFonts w:hint="eastAsia" w:ascii="Times New Roman" w:eastAsia="方正仿宋_GBK" w:cs="Times New Roman"/>
          <w:sz w:val="32"/>
          <w:szCs w:val="32"/>
        </w:rPr>
        <w:t>）。标注的成果作为项目结题验收或评估的重要依据。</w:t>
      </w:r>
    </w:p>
    <w:p w14:paraId="0348811C">
      <w:pPr>
        <w:keepNext/>
        <w:spacing w:before="156" w:beforeLines="50" w:after="156" w:afterLines="50" w:line="55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结题验收与评价</w:t>
      </w:r>
    </w:p>
    <w:p w14:paraId="0F8DC559">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第三十三条</w:t>
      </w:r>
      <w:r>
        <w:rPr>
          <w:rFonts w:ascii="方正仿宋_GBK" w:eastAsia="方正仿宋_GBK"/>
          <w:sz w:val="32"/>
          <w:szCs w:val="32"/>
        </w:rPr>
        <w:t xml:space="preserve">  </w:t>
      </w:r>
      <w:r>
        <w:rPr>
          <w:rFonts w:hint="eastAsia" w:ascii="方正仿宋_GBK" w:eastAsia="方正仿宋_GBK"/>
          <w:sz w:val="32"/>
          <w:szCs w:val="32"/>
        </w:rPr>
        <w:t>项目实施到期后应组织验收。由项目承担单位向项目主管部门提出验收申请，并按规定提交项目验收材料，经项目主管部门审核同意后按规定上报。重点项目和重大项目的验收工作由市科技局或受托项目管理专业机构组织；一般项目的验收工作由项目主管部门自行组织，特殊情况下可以提级组织。市科技局适时对项目主管部门、受托项目管理专业机构验收组织工作进行检查或抽查。奖励性后补助项目不组织验收。</w:t>
      </w:r>
    </w:p>
    <w:p w14:paraId="4CD8A753">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第三十四条</w:t>
      </w:r>
      <w:r>
        <w:rPr>
          <w:rFonts w:ascii="方正仿宋_GBK" w:eastAsia="方正仿宋_GBK"/>
          <w:sz w:val="32"/>
          <w:szCs w:val="32"/>
        </w:rPr>
        <w:t xml:space="preserve">  </w:t>
      </w:r>
      <w:r>
        <w:rPr>
          <w:rFonts w:ascii="Times New Roman" w:eastAsia="方正仿宋_GBK" w:cs="Times New Roman"/>
          <w:sz w:val="32"/>
          <w:szCs w:val="32"/>
        </w:rPr>
        <w:t>项目承担单位应在项目实施期到期后6</w:t>
      </w:r>
      <w:r>
        <w:rPr>
          <w:rFonts w:hint="eastAsia" w:ascii="Times New Roman" w:eastAsia="方正仿宋_GBK" w:cs="Times New Roman"/>
          <w:sz w:val="32"/>
          <w:szCs w:val="32"/>
        </w:rPr>
        <w:t>个</w:t>
      </w:r>
      <w:r>
        <w:rPr>
          <w:rFonts w:ascii="Times New Roman" w:eastAsia="方正仿宋_GBK" w:cs="Times New Roman"/>
          <w:sz w:val="32"/>
          <w:szCs w:val="32"/>
        </w:rPr>
        <w:t>月内申请组织验收，1年内</w:t>
      </w:r>
      <w:r>
        <w:rPr>
          <w:rFonts w:hint="eastAsia" w:ascii="方正仿宋_GBK" w:eastAsia="方正仿宋_GBK"/>
          <w:sz w:val="32"/>
          <w:szCs w:val="32"/>
        </w:rPr>
        <w:t>完成验收；对提前完成的项目，可以申请提前组织验收。</w:t>
      </w:r>
    </w:p>
    <w:p w14:paraId="2E97EA47">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第三十五条</w:t>
      </w:r>
      <w:r>
        <w:rPr>
          <w:rFonts w:ascii="方正仿宋_GBK" w:eastAsia="方正仿宋_GBK"/>
          <w:sz w:val="32"/>
          <w:szCs w:val="32"/>
        </w:rPr>
        <w:t xml:space="preserve">  </w:t>
      </w:r>
      <w:r>
        <w:rPr>
          <w:rFonts w:hint="eastAsia" w:ascii="方正仿宋_GBK" w:eastAsia="方正仿宋_GBK"/>
          <w:sz w:val="32"/>
          <w:szCs w:val="32"/>
        </w:rPr>
        <w:t>项目承担单位申请项目验收应提交项目实施报告和有关材料。重点项目和重大项目在组织验收前，项目承担单位应委托会计师事务所对项目进行专项审计，并向项目主管部门提交专项审计报告。一般项目可由承担单位财务部门自行出具项目经费决算报告并附有关明细，或由承担单位委托会计师事务所出具专项审计报告。</w:t>
      </w:r>
    </w:p>
    <w:p w14:paraId="15037871">
      <w:pPr>
        <w:spacing w:line="550" w:lineRule="exact"/>
        <w:ind w:firstLine="640" w:firstLineChars="200"/>
        <w:rPr>
          <w:rFonts w:ascii="Times New Roman" w:eastAsia="方正仿宋_GBK" w:cs="Times New Roman"/>
          <w:sz w:val="32"/>
          <w:szCs w:val="32"/>
        </w:rPr>
      </w:pPr>
      <w:r>
        <w:rPr>
          <w:rFonts w:hint="eastAsia" w:ascii="方正黑体_GBK" w:eastAsia="方正黑体_GBK"/>
          <w:sz w:val="32"/>
          <w:szCs w:val="32"/>
        </w:rPr>
        <w:t>第三十六条</w:t>
      </w:r>
      <w:r>
        <w:rPr>
          <w:rFonts w:ascii="方正仿宋_GBK" w:eastAsia="方正仿宋_GBK"/>
          <w:sz w:val="32"/>
          <w:szCs w:val="32"/>
        </w:rPr>
        <w:t xml:space="preserve">  </w:t>
      </w:r>
      <w:r>
        <w:rPr>
          <w:rFonts w:hint="eastAsia" w:ascii="Times New Roman" w:eastAsia="方正仿宋_GBK" w:cs="Times New Roman"/>
          <w:sz w:val="32"/>
          <w:szCs w:val="32"/>
        </w:rPr>
        <w:t>项目验收专家组由技术、财务等专家共同组成，原则上不少于</w:t>
      </w:r>
      <w:r>
        <w:rPr>
          <w:rFonts w:ascii="Times New Roman" w:eastAsia="方正仿宋_GBK" w:cs="Times New Roman"/>
          <w:sz w:val="32"/>
          <w:szCs w:val="32"/>
        </w:rPr>
        <w:t>5</w:t>
      </w:r>
      <w:r>
        <w:rPr>
          <w:rFonts w:hint="eastAsia" w:ascii="Times New Roman" w:eastAsia="方正仿宋_GBK" w:cs="Times New Roman"/>
          <w:sz w:val="32"/>
          <w:szCs w:val="32"/>
        </w:rPr>
        <w:t>人，其中具有高级职称的专家不少于</w:t>
      </w:r>
      <w:r>
        <w:rPr>
          <w:rFonts w:ascii="Times New Roman" w:eastAsia="方正仿宋_GBK" w:cs="Times New Roman"/>
          <w:sz w:val="32"/>
          <w:szCs w:val="32"/>
        </w:rPr>
        <w:t>60%</w:t>
      </w:r>
      <w:r>
        <w:rPr>
          <w:rFonts w:hint="eastAsia" w:ascii="Times New Roman" w:eastAsia="方正仿宋_GBK" w:cs="Times New Roman"/>
          <w:sz w:val="32"/>
          <w:szCs w:val="32"/>
        </w:rPr>
        <w:t>。技术专家应具有高级职称，原则上应来自项目领域科研一线；财务专家应从事财务方面工作，具有注册会计师资格或会计专业高级职称。重点项目和重大项目采取会议验收方式，一般项目采取会议验收或书面验收方式。根据需要，可安排多个项目进行集中验收。</w:t>
      </w:r>
    </w:p>
    <w:p w14:paraId="413047F0">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第三十七条</w:t>
      </w:r>
      <w:r>
        <w:rPr>
          <w:rFonts w:ascii="方正仿宋_GBK" w:eastAsia="方正仿宋_GBK"/>
          <w:sz w:val="32"/>
          <w:szCs w:val="32"/>
        </w:rPr>
        <w:t xml:space="preserve">  </w:t>
      </w:r>
      <w:r>
        <w:rPr>
          <w:rFonts w:hint="eastAsia" w:ascii="Times New Roman" w:eastAsia="方正仿宋_GBK" w:cs="Times New Roman"/>
          <w:sz w:val="32"/>
          <w:szCs w:val="32"/>
        </w:rPr>
        <w:t>项目验收专家</w:t>
      </w:r>
      <w:r>
        <w:rPr>
          <w:rFonts w:hint="eastAsia" w:ascii="方正仿宋_GBK" w:eastAsia="方正仿宋_GBK"/>
          <w:sz w:val="32"/>
          <w:szCs w:val="32"/>
        </w:rPr>
        <w:t>组应按照项目合同约定的考核目标任务进行验收，</w:t>
      </w:r>
      <w:r>
        <w:rPr>
          <w:rFonts w:hint="eastAsia" w:ascii="方正仿宋_GBK" w:hAnsi="Calibri" w:eastAsia="方正仿宋_GBK" w:cs="Times New Roman"/>
          <w:sz w:val="32"/>
          <w:szCs w:val="32"/>
        </w:rPr>
        <w:t>重点评价形成的新技术、新方法、新产品、关键部件等的创新性、成熟度、稳定性、可靠性，突出其在解决经济社会发展关键问题、支撑引领行业产业发展中发挥的作用。</w:t>
      </w:r>
      <w:r>
        <w:rPr>
          <w:rFonts w:hint="eastAsia" w:ascii="方正仿宋_GBK" w:eastAsia="方正仿宋_GBK"/>
          <w:sz w:val="32"/>
          <w:szCs w:val="32"/>
        </w:rPr>
        <w:t>可采取查看资料、听取汇报、实地考察、观看演示、提问质询、组织评议等形式，作出明确的验收结论。</w:t>
      </w:r>
    </w:p>
    <w:p w14:paraId="7444A790">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第三十八条</w:t>
      </w:r>
      <w:r>
        <w:rPr>
          <w:rFonts w:ascii="方正仿宋_GBK" w:eastAsia="方正仿宋_GBK"/>
          <w:sz w:val="32"/>
          <w:szCs w:val="32"/>
        </w:rPr>
        <w:t xml:space="preserve">  </w:t>
      </w:r>
      <w:r>
        <w:rPr>
          <w:rFonts w:hint="eastAsia" w:ascii="方正仿宋_GBK" w:eastAsia="方正仿宋_GBK"/>
          <w:sz w:val="32"/>
          <w:szCs w:val="32"/>
        </w:rPr>
        <w:t>经项目验收专家组评议，验收结论分为通过验收、总结结题和验收不合格三类。</w:t>
      </w:r>
    </w:p>
    <w:p w14:paraId="08DD364D">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（一）达到以下条件的项目可作“通过验收”结论：</w:t>
      </w:r>
      <w:r>
        <w:rPr>
          <w:rFonts w:hint="eastAsia" w:ascii="Times New Roman" w:eastAsia="方正仿宋_GBK" w:cs="Times New Roman"/>
          <w:sz w:val="32"/>
          <w:szCs w:val="32"/>
        </w:rPr>
        <w:t>按期提请验收，</w:t>
      </w:r>
      <w:r>
        <w:rPr>
          <w:rFonts w:ascii="Times New Roman" w:eastAsia="方正仿宋_GBK" w:cs="Times New Roman"/>
          <w:sz w:val="32"/>
          <w:szCs w:val="32"/>
        </w:rPr>
        <w:t>提供的验收材料真实完整；完成合同书约定全部考核目标，或虽未全部完成合同约定的考核目标、但在关键创新目标上形成高水平的标志性成果；经费使用</w:t>
      </w:r>
      <w:r>
        <w:rPr>
          <w:rFonts w:hint="eastAsia" w:ascii="方正仿宋_GBK" w:eastAsia="方正仿宋_GBK"/>
          <w:sz w:val="32"/>
          <w:szCs w:val="32"/>
        </w:rPr>
        <w:t>规范。</w:t>
      </w:r>
    </w:p>
    <w:p w14:paraId="2978EC89">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（二）未完全达到前一项条件，但开展了实质性研发活动并取得了一定研究进展和成果，且经费使用规范的，可作“总结结题”结论。</w:t>
      </w:r>
    </w:p>
    <w:p w14:paraId="1F16FEF7">
      <w:pPr>
        <w:widowControl/>
        <w:spacing w:line="560" w:lineRule="exact"/>
        <w:ind w:firstLine="640" w:firstLineChars="200"/>
        <w:rPr>
          <w:rFonts w:ascii="Times New Roman" w:eastAsia="方正仿宋_GBK" w:cs="Times New Roman"/>
          <w:sz w:val="32"/>
          <w:szCs w:val="32"/>
        </w:rPr>
      </w:pPr>
      <w:r>
        <w:rPr>
          <w:rFonts w:ascii="Times New Roman" w:eastAsia="方正仿宋_GBK" w:cs="Times New Roman"/>
          <w:sz w:val="32"/>
          <w:szCs w:val="32"/>
        </w:rPr>
        <w:t>（三）有下列情形之一的，可作</w:t>
      </w:r>
      <w:r>
        <w:rPr>
          <w:rFonts w:hint="eastAsia" w:ascii="Times New Roman" w:eastAsia="方正仿宋_GBK" w:cs="Times New Roman"/>
          <w:sz w:val="32"/>
          <w:szCs w:val="32"/>
        </w:rPr>
        <w:t>“</w:t>
      </w:r>
      <w:r>
        <w:rPr>
          <w:rFonts w:ascii="Times New Roman" w:eastAsia="方正仿宋_GBK" w:cs="Times New Roman"/>
          <w:sz w:val="32"/>
          <w:szCs w:val="32"/>
        </w:rPr>
        <w:t>验收</w:t>
      </w:r>
      <w:r>
        <w:rPr>
          <w:rFonts w:hint="eastAsia" w:ascii="Times New Roman" w:eastAsia="方正仿宋_GBK" w:cs="Times New Roman"/>
          <w:sz w:val="32"/>
          <w:szCs w:val="32"/>
        </w:rPr>
        <w:t>不合格”</w:t>
      </w:r>
      <w:r>
        <w:rPr>
          <w:rFonts w:ascii="Times New Roman" w:eastAsia="方正仿宋_GBK" w:cs="Times New Roman"/>
          <w:sz w:val="32"/>
          <w:szCs w:val="32"/>
        </w:rPr>
        <w:t>结论</w:t>
      </w:r>
      <w:r>
        <w:rPr>
          <w:rFonts w:hint="eastAsia" w:ascii="Times New Roman" w:eastAsia="方正仿宋_GBK" w:cs="Times New Roman"/>
          <w:sz w:val="32"/>
          <w:szCs w:val="32"/>
        </w:rPr>
        <w:t>：</w:t>
      </w:r>
      <w:r>
        <w:rPr>
          <w:rFonts w:ascii="Times New Roman" w:eastAsia="方正仿宋_GBK" w:cs="Times New Roman"/>
          <w:sz w:val="32"/>
          <w:szCs w:val="32"/>
        </w:rPr>
        <w:t>不符合</w:t>
      </w:r>
      <w:r>
        <w:rPr>
          <w:rFonts w:hint="eastAsia" w:ascii="Times New Roman" w:eastAsia="方正仿宋_GBK" w:cs="Times New Roman"/>
          <w:sz w:val="32"/>
          <w:szCs w:val="32"/>
        </w:rPr>
        <w:t>“</w:t>
      </w:r>
      <w:r>
        <w:rPr>
          <w:rFonts w:ascii="Times New Roman" w:eastAsia="方正仿宋_GBK" w:cs="Times New Roman"/>
          <w:sz w:val="32"/>
          <w:szCs w:val="32"/>
        </w:rPr>
        <w:t>通过验收</w:t>
      </w:r>
      <w:r>
        <w:rPr>
          <w:rFonts w:hint="eastAsia" w:ascii="Times New Roman" w:eastAsia="方正仿宋_GBK" w:cs="Times New Roman"/>
          <w:sz w:val="32"/>
          <w:szCs w:val="32"/>
        </w:rPr>
        <w:t>”“</w:t>
      </w:r>
      <w:r>
        <w:rPr>
          <w:rFonts w:ascii="Times New Roman" w:eastAsia="方正仿宋_GBK" w:cs="Times New Roman"/>
          <w:sz w:val="32"/>
          <w:szCs w:val="32"/>
        </w:rPr>
        <w:t>总结结题</w:t>
      </w:r>
      <w:r>
        <w:rPr>
          <w:rFonts w:hint="eastAsia" w:ascii="Times New Roman" w:eastAsia="方正仿宋_GBK" w:cs="Times New Roman"/>
          <w:sz w:val="32"/>
          <w:szCs w:val="32"/>
        </w:rPr>
        <w:t>”</w:t>
      </w:r>
      <w:r>
        <w:rPr>
          <w:rFonts w:ascii="Times New Roman" w:eastAsia="方正仿宋_GBK" w:cs="Times New Roman"/>
          <w:sz w:val="32"/>
          <w:szCs w:val="32"/>
        </w:rPr>
        <w:t>的条件；提供虚假文件资料及数据，存在内容抄袭、数据造假等问题</w:t>
      </w:r>
      <w:r>
        <w:rPr>
          <w:rFonts w:hint="eastAsia" w:ascii="Times New Roman" w:eastAsia="方正仿宋_GBK" w:cs="Times New Roman"/>
          <w:sz w:val="32"/>
          <w:szCs w:val="32"/>
        </w:rPr>
        <w:t>或</w:t>
      </w:r>
      <w:r>
        <w:rPr>
          <w:rFonts w:ascii="Times New Roman" w:eastAsia="方正仿宋_GBK" w:cs="Times New Roman"/>
          <w:sz w:val="32"/>
          <w:szCs w:val="32"/>
        </w:rPr>
        <w:t>存在</w:t>
      </w:r>
      <w:r>
        <w:rPr>
          <w:rFonts w:hint="eastAsia" w:ascii="Times New Roman" w:eastAsia="方正仿宋_GBK" w:cs="Times New Roman"/>
          <w:sz w:val="32"/>
          <w:szCs w:val="32"/>
        </w:rPr>
        <w:t>其他</w:t>
      </w:r>
      <w:r>
        <w:rPr>
          <w:rFonts w:ascii="Times New Roman" w:eastAsia="方正仿宋_GBK" w:cs="Times New Roman"/>
          <w:sz w:val="32"/>
          <w:szCs w:val="32"/>
        </w:rPr>
        <w:t>严重科研失信、科技伦理违法违规行为；未按规定提交变更申请、擅自变更项目承担单位、调整项目研发目标任务等重要事项；存在挤占、挪用、套取、转移专项资金，拒不提供会计资料，提供虚假审计报告及其他严重违反国家财经纪律的行为；无正当理由拒不参加项目</w:t>
      </w:r>
      <w:r>
        <w:rPr>
          <w:rFonts w:hint="eastAsia" w:ascii="Times New Roman" w:eastAsia="方正仿宋_GBK" w:cs="Times New Roman"/>
          <w:sz w:val="32"/>
          <w:szCs w:val="32"/>
        </w:rPr>
        <w:t>结题</w:t>
      </w:r>
      <w:r>
        <w:rPr>
          <w:rFonts w:ascii="Times New Roman" w:eastAsia="方正仿宋_GBK" w:cs="Times New Roman"/>
          <w:sz w:val="32"/>
          <w:szCs w:val="32"/>
        </w:rPr>
        <w:t>验收</w:t>
      </w:r>
      <w:r>
        <w:rPr>
          <w:rFonts w:hint="eastAsia" w:ascii="Times New Roman" w:eastAsia="方正仿宋_GBK" w:cs="Times New Roman"/>
          <w:sz w:val="32"/>
          <w:szCs w:val="32"/>
        </w:rPr>
        <w:t>；</w:t>
      </w:r>
      <w:r>
        <w:rPr>
          <w:rFonts w:ascii="Times New Roman" w:eastAsia="方正仿宋_GBK" w:cs="Times New Roman"/>
          <w:sz w:val="32"/>
          <w:szCs w:val="32"/>
        </w:rPr>
        <w:t>验收专家组要求项目承担单位补充材料方可通过的，项目承担单位未在承诺期限内按专家意见补充材料</w:t>
      </w:r>
      <w:r>
        <w:rPr>
          <w:rFonts w:hint="eastAsia" w:ascii="Times New Roman" w:eastAsia="方正仿宋_GBK" w:cs="Times New Roman"/>
          <w:sz w:val="32"/>
          <w:szCs w:val="32"/>
        </w:rPr>
        <w:t>且无正当理由的</w:t>
      </w:r>
      <w:r>
        <w:rPr>
          <w:rFonts w:ascii="Times New Roman" w:eastAsia="方正仿宋_GBK" w:cs="Times New Roman"/>
          <w:sz w:val="32"/>
          <w:szCs w:val="32"/>
        </w:rPr>
        <w:t>。</w:t>
      </w:r>
    </w:p>
    <w:p w14:paraId="5040103D">
      <w:pPr>
        <w:spacing w:line="560" w:lineRule="exact"/>
        <w:ind w:firstLine="640" w:firstLineChars="200"/>
        <w:rPr>
          <w:rFonts w:ascii="方正仿宋_GBK" w:eastAsia="方正仿宋_GBK"/>
          <w:strike/>
          <w:sz w:val="32"/>
          <w:szCs w:val="32"/>
        </w:rPr>
      </w:pPr>
      <w:r>
        <w:rPr>
          <w:rFonts w:hint="eastAsia" w:ascii="方正黑体_GBK" w:eastAsia="方正黑体_GBK"/>
          <w:sz w:val="32"/>
          <w:szCs w:val="32"/>
        </w:rPr>
        <w:t>第三十九条</w:t>
      </w:r>
      <w:r>
        <w:rPr>
          <w:rFonts w:ascii="方正仿宋_GBK" w:eastAsia="方正仿宋_GBK"/>
          <w:sz w:val="32"/>
          <w:szCs w:val="32"/>
        </w:rPr>
        <w:t xml:space="preserve">  </w:t>
      </w:r>
      <w:r>
        <w:rPr>
          <w:rFonts w:hint="eastAsia" w:ascii="方正仿宋_GBK" w:eastAsia="方正仿宋_GBK"/>
          <w:sz w:val="32"/>
          <w:szCs w:val="32"/>
        </w:rPr>
        <w:t>项目在实施过程中因客观原因或不可抗力导致项目无法继续实施的，承担单位可主动向项目主管部门提出项目终止申请，并按规定对项目经费进行决算审计，经项目主管部门审核同意后，由项目主管部门报市科技局批准。项目承担单位因停产倒闭破产等客观原因，无法配合项目主管部门正常履行项目结题程序的，可由项目主管部门提出结题申请报市科技局批准。</w:t>
      </w:r>
    </w:p>
    <w:p w14:paraId="44BBCB14">
      <w:pPr>
        <w:spacing w:line="560" w:lineRule="exact"/>
        <w:ind w:firstLine="640" w:firstLineChars="200"/>
        <w:rPr>
          <w:rFonts w:ascii="方正仿宋_GBK" w:eastAsia="方正仿宋_GBK"/>
          <w:sz w:val="32"/>
          <w:szCs w:val="32"/>
        </w:rPr>
      </w:pPr>
      <w:r>
        <w:rPr>
          <w:rFonts w:hint="eastAsia" w:ascii="方正黑体_GBK" w:eastAsia="方正黑体_GBK"/>
          <w:sz w:val="32"/>
          <w:szCs w:val="32"/>
        </w:rPr>
        <w:t>第四十条</w:t>
      </w:r>
      <w:r>
        <w:rPr>
          <w:rFonts w:ascii="方正仿宋_GBK" w:eastAsia="方正仿宋_GBK"/>
          <w:sz w:val="32"/>
          <w:szCs w:val="32"/>
        </w:rPr>
        <w:t xml:space="preserve">  </w:t>
      </w:r>
      <w:r>
        <w:rPr>
          <w:rFonts w:hint="eastAsia" w:ascii="方正仿宋_GBK" w:eastAsia="方正仿宋_GBK"/>
          <w:sz w:val="32"/>
          <w:szCs w:val="32"/>
        </w:rPr>
        <w:t>项目承担单位发生严重科研不端行为、不开展项目实质性研发、项目经费使用不规范或其他原因导致项目已明显不具备继续执行条件，以及在项目到期后</w:t>
      </w:r>
      <w:r>
        <w:rPr>
          <w:rFonts w:ascii="Times New Roman" w:eastAsia="方正仿宋_GBK" w:cs="Times New Roman"/>
          <w:sz w:val="32"/>
          <w:szCs w:val="32"/>
        </w:rPr>
        <w:t>18</w:t>
      </w:r>
      <w:r>
        <w:rPr>
          <w:rFonts w:hint="eastAsia" w:ascii="方正仿宋_GBK" w:eastAsia="方正仿宋_GBK"/>
          <w:sz w:val="32"/>
          <w:szCs w:val="32"/>
        </w:rPr>
        <w:t>个月内未申请验收的，</w:t>
      </w:r>
      <w:r>
        <w:rPr>
          <w:rFonts w:hint="eastAsia" w:ascii="方正仿宋_GBK" w:eastAsia="方正仿宋_GBK"/>
          <w:spacing w:val="-6"/>
          <w:sz w:val="32"/>
          <w:szCs w:val="32"/>
        </w:rPr>
        <w:t>经市科技局审核后，予以强制终止并记入科研信用记录</w:t>
      </w:r>
      <w:r>
        <w:rPr>
          <w:rFonts w:hint="eastAsia" w:ascii="方正仿宋_GBK" w:eastAsia="方正仿宋_GBK"/>
          <w:sz w:val="32"/>
          <w:szCs w:val="32"/>
        </w:rPr>
        <w:t>。</w:t>
      </w:r>
    </w:p>
    <w:p w14:paraId="736A8CB6">
      <w:pPr>
        <w:spacing w:line="560" w:lineRule="exact"/>
        <w:ind w:firstLine="640" w:firstLineChars="200"/>
        <w:rPr>
          <w:rFonts w:ascii="方正仿宋_GBK" w:eastAsia="方正仿宋_GBK"/>
          <w:sz w:val="32"/>
          <w:szCs w:val="32"/>
        </w:rPr>
      </w:pPr>
      <w:r>
        <w:rPr>
          <w:rFonts w:hint="eastAsia" w:ascii="方正黑体_GBK" w:eastAsia="方正黑体_GBK"/>
          <w:sz w:val="32"/>
          <w:szCs w:val="32"/>
        </w:rPr>
        <w:t>第四十一条</w:t>
      </w:r>
      <w:r>
        <w:rPr>
          <w:rFonts w:ascii="方正仿宋_GBK" w:eastAsia="方正仿宋_GBK"/>
          <w:sz w:val="32"/>
          <w:szCs w:val="32"/>
        </w:rPr>
        <w:t xml:space="preserve">  </w:t>
      </w:r>
      <w:r>
        <w:rPr>
          <w:rFonts w:hint="eastAsia" w:ascii="方正仿宋_GBK" w:eastAsia="方正仿宋_GBK"/>
          <w:sz w:val="32"/>
          <w:szCs w:val="32"/>
        </w:rPr>
        <w:t>建立健全项目绩效分类评价机制。注重重大项目中长期创新绩效，市科技局可在项目验</w:t>
      </w:r>
      <w:r>
        <w:rPr>
          <w:rFonts w:hint="eastAsia" w:ascii="Times New Roman" w:eastAsia="方正仿宋_GBK" w:cs="Times New Roman"/>
          <w:sz w:val="32"/>
          <w:szCs w:val="32"/>
        </w:rPr>
        <w:t>收后</w:t>
      </w:r>
      <w:r>
        <w:rPr>
          <w:rFonts w:ascii="Times New Roman" w:eastAsia="方正仿宋_GBK" w:cs="Times New Roman"/>
          <w:sz w:val="32"/>
          <w:szCs w:val="32"/>
        </w:rPr>
        <w:t>3</w:t>
      </w:r>
      <w:r>
        <w:rPr>
          <w:rFonts w:hint="eastAsia" w:ascii="Times New Roman" w:eastAsia="方正仿宋_GBK" w:cs="Times New Roman"/>
          <w:sz w:val="32"/>
          <w:szCs w:val="32"/>
        </w:rPr>
        <w:t>年内组织</w:t>
      </w:r>
      <w:r>
        <w:rPr>
          <w:rFonts w:hint="eastAsia" w:ascii="方正仿宋_GBK" w:eastAsia="方正仿宋_GBK"/>
          <w:sz w:val="32"/>
          <w:szCs w:val="32"/>
        </w:rPr>
        <w:t>绩效跟踪评价，重点关注项目成果转化、应用推广以及产生的经济社会效益。</w:t>
      </w:r>
    </w:p>
    <w:p w14:paraId="59A52923">
      <w:pPr>
        <w:keepNext/>
        <w:spacing w:before="156" w:beforeLines="50" w:after="156" w:afterLines="50" w:line="550" w:lineRule="exact"/>
        <w:jc w:val="center"/>
        <w:rPr>
          <w:rFonts w:ascii="方正黑体_GBK" w:eastAsia="方正黑体_GBK"/>
          <w:sz w:val="32"/>
          <w:szCs w:val="32"/>
        </w:rPr>
      </w:pPr>
      <w:r>
        <w:rPr>
          <w:rFonts w:hint="eastAsia" w:ascii="方正黑体_GBK" w:eastAsia="方正黑体_GBK"/>
          <w:sz w:val="32"/>
          <w:szCs w:val="32"/>
        </w:rPr>
        <w:t>项目经费管理</w:t>
      </w:r>
    </w:p>
    <w:p w14:paraId="302809D8">
      <w:pPr>
        <w:spacing w:line="550" w:lineRule="exact"/>
        <w:ind w:firstLine="627" w:firstLineChars="196"/>
        <w:rPr>
          <w:rFonts w:ascii="方正仿宋_GBK" w:hAnsi="Calibri" w:eastAsia="方正仿宋_GBK" w:cs="Times New Roman"/>
          <w:sz w:val="32"/>
          <w:szCs w:val="32"/>
        </w:rPr>
      </w:pPr>
      <w:r>
        <w:rPr>
          <w:rFonts w:hint="eastAsia" w:ascii="方正黑体_GBK" w:eastAsia="方正黑体_GBK"/>
          <w:sz w:val="32"/>
          <w:szCs w:val="32"/>
        </w:rPr>
        <w:t>第四十二条</w:t>
      </w:r>
      <w:r>
        <w:rPr>
          <w:rFonts w:ascii="方正仿宋_GBK" w:hAnsi="Calibri" w:eastAsia="方正仿宋_GBK" w:cs="Times New Roman"/>
          <w:sz w:val="32"/>
          <w:szCs w:val="32"/>
        </w:rPr>
        <w:t xml:space="preserve">  </w:t>
      </w:r>
      <w:r>
        <w:rPr>
          <w:rFonts w:hint="eastAsia" w:ascii="方正仿宋_GBK" w:hAnsi="方正仿宋_GBK" w:eastAsia="方正仿宋_GBK" w:cs="方正仿宋_GBK"/>
          <w:sz w:val="32"/>
          <w:szCs w:val="32"/>
        </w:rPr>
        <w:t>根据项目实施管理需要可采取分年度拨款方式，</w:t>
      </w:r>
      <w:r>
        <w:rPr>
          <w:rFonts w:hint="eastAsia" w:ascii="Times New Roman" w:eastAsia="方正仿宋_GBK" w:cs="Times New Roman"/>
          <w:sz w:val="32"/>
          <w:szCs w:val="32"/>
        </w:rPr>
        <w:t>重大项目应采取分年度拨款方式。</w:t>
      </w:r>
      <w:r>
        <w:rPr>
          <w:rFonts w:hint="eastAsia" w:ascii="方正仿宋_GBK" w:hAnsi="Calibri" w:eastAsia="方正仿宋_GBK" w:cs="Times New Roman"/>
          <w:sz w:val="32"/>
          <w:szCs w:val="32"/>
        </w:rPr>
        <w:t>前资助项目</w:t>
      </w:r>
      <w:r>
        <w:rPr>
          <w:rFonts w:hint="eastAsia" w:ascii="Times New Roman" w:eastAsia="方正仿宋_GBK" w:cs="Times New Roman"/>
          <w:sz w:val="32"/>
          <w:szCs w:val="32"/>
        </w:rPr>
        <w:t>首次拨付比例不低于资助额度的</w:t>
      </w:r>
      <w:r>
        <w:rPr>
          <w:rFonts w:ascii="Times New Roman" w:eastAsia="方正仿宋_GBK" w:cs="Times New Roman"/>
          <w:sz w:val="32"/>
          <w:szCs w:val="32"/>
        </w:rPr>
        <w:t>40%</w:t>
      </w:r>
      <w:r>
        <w:rPr>
          <w:rFonts w:hint="eastAsia" w:ascii="Times New Roman" w:eastAsia="方正仿宋_GBK" w:cs="Times New Roman"/>
          <w:sz w:val="32"/>
          <w:szCs w:val="32"/>
        </w:rPr>
        <w:t>；项目实施中期，根据中</w:t>
      </w:r>
      <w:r>
        <w:rPr>
          <w:rFonts w:hint="eastAsia" w:ascii="方正仿宋_GBK" w:hAnsi="Calibri" w:eastAsia="方正仿宋_GBK" w:cs="Times New Roman"/>
          <w:sz w:val="32"/>
          <w:szCs w:val="32"/>
        </w:rPr>
        <w:t>期检查</w:t>
      </w:r>
      <w:r>
        <w:rPr>
          <w:rFonts w:hint="eastAsia" w:ascii="Times New Roman" w:eastAsia="方正仿宋_GBK" w:cs="Times New Roman"/>
          <w:sz w:val="32"/>
          <w:szCs w:val="32"/>
        </w:rPr>
        <w:t>情况和</w:t>
      </w:r>
      <w:r>
        <w:rPr>
          <w:rFonts w:hint="eastAsia" w:ascii="方正仿宋_GBK" w:hAnsi="Calibri" w:eastAsia="方正仿宋_GBK" w:cs="Times New Roman"/>
          <w:sz w:val="32"/>
          <w:szCs w:val="32"/>
        </w:rPr>
        <w:t>项目主管部门的建议，另行拨付剩余资金。“揭榜挂帅”项目拨款方式另行规定。</w:t>
      </w:r>
    </w:p>
    <w:p w14:paraId="0B0E6D0D">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w:t>
      </w:r>
      <w:r>
        <w:rPr>
          <w:rFonts w:hint="eastAsia" w:ascii="黑体" w:hAnsi="黑体" w:eastAsia="黑体" w:cs="黑体"/>
          <w:sz w:val="32"/>
          <w:szCs w:val="32"/>
        </w:rPr>
        <w:t>四十三</w:t>
      </w:r>
      <w:r>
        <w:rPr>
          <w:rFonts w:hint="eastAsia" w:ascii="方正黑体_GBK" w:eastAsia="方正黑体_GBK"/>
          <w:sz w:val="32"/>
          <w:szCs w:val="32"/>
        </w:rPr>
        <w:t>条</w:t>
      </w:r>
      <w:r>
        <w:rPr>
          <w:rFonts w:ascii="方正仿宋_GBK" w:eastAsia="方正仿宋_GBK"/>
          <w:sz w:val="32"/>
          <w:szCs w:val="32"/>
        </w:rPr>
        <w:t xml:space="preserve">  </w:t>
      </w:r>
      <w:r>
        <w:rPr>
          <w:rFonts w:hint="eastAsia" w:ascii="方正仿宋_GBK" w:eastAsia="方正仿宋_GBK"/>
          <w:sz w:val="32"/>
          <w:szCs w:val="32"/>
        </w:rPr>
        <w:t>市科技计划项目经费包括财政补助经费、项目承担单位自筹经费。项目承担单位要及时落实项目自筹经费，保障项目顺利实施。</w:t>
      </w:r>
    </w:p>
    <w:p w14:paraId="437A4D6F">
      <w:pPr>
        <w:spacing w:line="550" w:lineRule="exact"/>
        <w:ind w:firstLine="640" w:firstLineChars="200"/>
        <w:rPr>
          <w:rFonts w:ascii="方正仿宋_GBK" w:eastAsia="方正仿宋_GBK"/>
          <w:sz w:val="32"/>
          <w:szCs w:val="32"/>
        </w:rPr>
      </w:pPr>
      <w:r>
        <w:rPr>
          <w:rFonts w:hint="eastAsia" w:ascii="黑体" w:hAnsi="黑体" w:eastAsia="黑体" w:cs="黑体"/>
          <w:sz w:val="32"/>
          <w:szCs w:val="32"/>
        </w:rPr>
        <w:t>第四十四条</w:t>
      </w:r>
      <w:r>
        <w:rPr>
          <w:rFonts w:ascii="黑体" w:hAnsi="黑体" w:eastAsia="黑体" w:cs="黑体"/>
          <w:sz w:val="32"/>
          <w:szCs w:val="32"/>
        </w:rPr>
        <w:t xml:space="preserve"> </w:t>
      </w:r>
      <w:r>
        <w:rPr>
          <w:rFonts w:ascii="方正仿宋_GBK" w:eastAsia="方正仿宋_GBK"/>
          <w:sz w:val="32"/>
          <w:szCs w:val="32"/>
        </w:rPr>
        <w:t xml:space="preserve"> </w:t>
      </w:r>
      <w:r>
        <w:rPr>
          <w:rFonts w:hint="eastAsia" w:ascii="方正仿宋_GBK" w:eastAsia="方正仿宋_GBK"/>
          <w:sz w:val="32"/>
          <w:szCs w:val="32"/>
        </w:rPr>
        <w:t>市科技计划项目经费应专项核算、专款专用，不得用于支付各种罚款、捐款、赞助、投资等支出，不得用于国家规定禁止列入的其他支出。后补助项目的财政补助经费可由承担单位统筹使用，但不得用于与科技创新无关的支出。前资助项目经费按预算编制科目分为直接费用和间接费用。</w:t>
      </w:r>
    </w:p>
    <w:p w14:paraId="45F980A1">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第四十五条</w:t>
      </w:r>
      <w:r>
        <w:rPr>
          <w:rFonts w:ascii="方正仿宋_GBK" w:eastAsia="方正仿宋_GBK"/>
          <w:sz w:val="32"/>
          <w:szCs w:val="32"/>
        </w:rPr>
        <w:t xml:space="preserve">  </w:t>
      </w:r>
      <w:r>
        <w:rPr>
          <w:rFonts w:hint="eastAsia" w:ascii="方正仿宋_GBK" w:eastAsia="方正仿宋_GBK"/>
          <w:sz w:val="32"/>
          <w:szCs w:val="32"/>
        </w:rPr>
        <w:t>直接费用是指在项目实施过程中发生的与之直接相关的费用。主要包括：</w:t>
      </w:r>
    </w:p>
    <w:p w14:paraId="0FC86A25">
      <w:pPr>
        <w:spacing w:line="550" w:lineRule="exact"/>
        <w:ind w:firstLine="640" w:firstLineChars="200"/>
        <w:rPr>
          <w:rFonts w:ascii="方正仿宋_GBK" w:eastAsia="方正仿宋_GBK"/>
          <w:sz w:val="32"/>
          <w:szCs w:val="32"/>
        </w:rPr>
      </w:pPr>
      <w:r>
        <w:rPr>
          <w:rFonts w:hint="eastAsia" w:ascii="方正楷体_GBK" w:eastAsia="方正楷体_GBK"/>
          <w:sz w:val="32"/>
          <w:szCs w:val="32"/>
        </w:rPr>
        <w:t>（一）设备费。</w:t>
      </w:r>
      <w:r>
        <w:rPr>
          <w:rFonts w:hint="eastAsia" w:ascii="方正仿宋_GBK" w:eastAsia="方正仿宋_GBK"/>
          <w:sz w:val="32"/>
          <w:szCs w:val="32"/>
        </w:rPr>
        <w:t>是指在项目实施过程中购置或试制专用仪器设备，对现有仪器设备进行升级改造，以及租赁外单位仪器设备而发生的费用。计算类仪器设备和软件工具可在设备费科目列支。应当严格控制设备购置，鼓励开放共享、自主研制、租赁专用仪器设备以及对现有仪器设备进行升级改造，避免重复购置。</w:t>
      </w:r>
    </w:p>
    <w:p w14:paraId="169CD620">
      <w:pPr>
        <w:spacing w:line="550" w:lineRule="exact"/>
        <w:ind w:firstLine="640" w:firstLineChars="200"/>
        <w:rPr>
          <w:rFonts w:ascii="方正仿宋_GBK" w:eastAsia="方正仿宋_GBK"/>
          <w:sz w:val="32"/>
          <w:szCs w:val="32"/>
        </w:rPr>
      </w:pPr>
      <w:r>
        <w:rPr>
          <w:rFonts w:hint="eastAsia" w:ascii="方正楷体_GBK" w:eastAsia="方正楷体_GBK"/>
          <w:sz w:val="32"/>
          <w:szCs w:val="32"/>
        </w:rPr>
        <w:t>（二）业务费。</w:t>
      </w:r>
      <w:r>
        <w:rPr>
          <w:rFonts w:hint="eastAsia" w:ascii="方正仿宋_GBK" w:eastAsia="方正仿宋_GBK"/>
          <w:sz w:val="32"/>
          <w:szCs w:val="32"/>
        </w:rPr>
        <w:t>是指在项目实施过程中消耗的各种材料、辅助材料等低值易耗品的采购、运输、装卸、整理等费用，发生的测试化验加工、燃料动力、出版/文献/信息传播/知识产权事务、会议/差旅/国际合作交流等费用，以及其他相关支出。</w:t>
      </w:r>
    </w:p>
    <w:p w14:paraId="19CF4472">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对国内差旅费中的伙食补助费、市内交通费和难以取得发票的住宿费探索实行包干制的项目承担单位，应制定相应的财务管理规定并承担主体责任。</w:t>
      </w:r>
    </w:p>
    <w:p w14:paraId="3F819372">
      <w:pPr>
        <w:spacing w:line="550" w:lineRule="exact"/>
        <w:ind w:firstLine="640" w:firstLineChars="200"/>
        <w:rPr>
          <w:rFonts w:ascii="方正仿宋_GBK" w:eastAsia="方正仿宋_GBK"/>
          <w:sz w:val="32"/>
          <w:szCs w:val="32"/>
        </w:rPr>
      </w:pPr>
      <w:r>
        <w:rPr>
          <w:rFonts w:hint="eastAsia" w:ascii="方正楷体_GBK" w:eastAsia="方正楷体_GBK"/>
          <w:sz w:val="32"/>
          <w:szCs w:val="32"/>
        </w:rPr>
        <w:t>（三）劳务费。</w:t>
      </w:r>
      <w:r>
        <w:rPr>
          <w:rFonts w:hint="eastAsia" w:ascii="方正仿宋_GBK" w:eastAsia="方正仿宋_GBK"/>
          <w:sz w:val="32"/>
          <w:szCs w:val="32"/>
        </w:rPr>
        <w:t>是指在项目实施过程中支付给参与项目的研究生、博士后、访问学者和项目聘用的研究人员、科研辅助人员等的劳</w:t>
      </w:r>
      <w:r>
        <w:rPr>
          <w:rFonts w:hint="eastAsia" w:ascii="方正仿宋_GBK" w:eastAsia="方正仿宋_GBK"/>
          <w:spacing w:val="-6"/>
          <w:sz w:val="32"/>
          <w:szCs w:val="32"/>
        </w:rPr>
        <w:t>务性费用，以及支付给临时聘请的咨询专家的费用等</w:t>
      </w:r>
      <w:r>
        <w:rPr>
          <w:rFonts w:hint="eastAsia" w:ascii="方正仿宋_GBK" w:eastAsia="方正仿宋_GBK"/>
          <w:sz w:val="32"/>
          <w:szCs w:val="32"/>
        </w:rPr>
        <w:t>。</w:t>
      </w:r>
    </w:p>
    <w:p w14:paraId="69024192">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项目聘用人员劳务费开支标准，参照当地科学研究和技术服务业从业人员平均工资水平，根据其在项目研究中承担的工作任务确定，其由单位缴纳的社会保险补助、住房公积金等纳入劳务费科目开支。</w:t>
      </w:r>
    </w:p>
    <w:p w14:paraId="169A70FB">
      <w:pPr>
        <w:spacing w:line="550" w:lineRule="exact"/>
        <w:ind w:firstLine="640" w:firstLineChars="200"/>
        <w:rPr>
          <w:rFonts w:ascii="方正仿宋_GBK" w:eastAsia="方正仿宋_GBK"/>
          <w:sz w:val="32"/>
          <w:szCs w:val="32"/>
        </w:rPr>
      </w:pPr>
      <w:r>
        <w:rPr>
          <w:rFonts w:hint="eastAsia" w:ascii="方正仿宋_GBK" w:eastAsia="方正仿宋_GBK"/>
          <w:sz w:val="32"/>
          <w:szCs w:val="32"/>
        </w:rPr>
        <w:t>支付给临时聘请的咨询专家的费用，不得支付给参与本项目及所属课题研究和管理的相关人员，其管理按照国家、省和市有关规定执行。</w:t>
      </w:r>
    </w:p>
    <w:p w14:paraId="3DED1916">
      <w:pPr>
        <w:spacing w:line="550" w:lineRule="exact"/>
        <w:ind w:firstLine="640" w:firstLineChars="200"/>
        <w:rPr>
          <w:rFonts w:hint="eastAsia" w:ascii="方正仿宋_GBK" w:hAnsi="仿宋" w:eastAsia="方正仿宋_GBK"/>
          <w:sz w:val="32"/>
          <w:szCs w:val="32"/>
        </w:rPr>
      </w:pPr>
      <w:r>
        <w:rPr>
          <w:rFonts w:hint="eastAsia" w:ascii="方正黑体_GBK" w:eastAsia="方正黑体_GBK"/>
          <w:sz w:val="32"/>
          <w:szCs w:val="32"/>
        </w:rPr>
        <w:t>第四十六条</w:t>
      </w:r>
      <w:r>
        <w:rPr>
          <w:rFonts w:ascii="方正仿宋_GBK" w:eastAsia="方正仿宋_GBK"/>
          <w:sz w:val="32"/>
          <w:szCs w:val="32"/>
        </w:rPr>
        <w:t xml:space="preserve">  </w:t>
      </w:r>
      <w:r>
        <w:rPr>
          <w:rFonts w:hint="eastAsia" w:ascii="方正仿宋_GBK" w:hAnsi="仿宋" w:eastAsia="方正仿宋_GBK"/>
          <w:sz w:val="32"/>
          <w:szCs w:val="32"/>
        </w:rPr>
        <w:t>间接费用是指承担单位在组织实施项目过程中发生的无法在直接费用中列支的相关费用。主要包括承担单位为项目研究提供的房屋占用，日常水、电、气、暖等消耗，有关管理费用的补助支出，以及激励科研人员的绩效支出等。</w:t>
      </w:r>
    </w:p>
    <w:p w14:paraId="4BE83AE8">
      <w:pPr>
        <w:spacing w:line="550" w:lineRule="exact"/>
        <w:ind w:firstLine="640" w:firstLineChars="200"/>
        <w:rPr>
          <w:rFonts w:hint="eastAsia" w:ascii="方正仿宋_GBK" w:hAnsi="仿宋" w:eastAsia="方正仿宋_GBK"/>
          <w:sz w:val="32"/>
          <w:szCs w:val="32"/>
        </w:rPr>
      </w:pPr>
      <w:r>
        <w:rPr>
          <w:rFonts w:ascii="Times New Roman" w:eastAsia="方正仿宋_GBK" w:cs="Times New Roman"/>
          <w:sz w:val="32"/>
          <w:szCs w:val="32"/>
        </w:rPr>
        <w:t>间接费用使用实行总额控制，按照直接费用扣除设备购置费后的一定比例核定。具体比例为：500万元以下部分为不超过30%；500万元至1000万元的部分为不超过25%；1000万元以上的部分为不超过20%。对数学等纯理论基础研究项目，间接费用比例最高不超过60%。项目</w:t>
      </w:r>
      <w:r>
        <w:rPr>
          <w:rFonts w:hint="eastAsia" w:ascii="方正仿宋_GBK" w:hAnsi="仿宋" w:eastAsia="方正仿宋_GBK"/>
          <w:sz w:val="32"/>
          <w:szCs w:val="32"/>
        </w:rPr>
        <w:t>有多个参与单位的，间接费用在总额范围内由项目承担单位与参与单位协商分配。</w:t>
      </w:r>
    </w:p>
    <w:p w14:paraId="2728AEEC">
      <w:pPr>
        <w:spacing w:line="550" w:lineRule="exact"/>
        <w:ind w:firstLine="640" w:firstLineChars="200"/>
        <w:rPr>
          <w:rFonts w:ascii="Times New Roman" w:eastAsia="方正仿宋_GBK" w:cs="Times New Roman"/>
          <w:sz w:val="32"/>
          <w:szCs w:val="32"/>
        </w:rPr>
      </w:pPr>
      <w:r>
        <w:rPr>
          <w:rFonts w:hint="eastAsia" w:ascii="方正仿宋_GBK" w:hAnsi="仿宋" w:eastAsia="方正仿宋_GBK"/>
          <w:sz w:val="32"/>
          <w:szCs w:val="32"/>
        </w:rPr>
        <w:t>项目承担单位可将间接费用全部用于绩效支出，并向创新绩效突出的团队和个人倾斜。间接费用中绩效支出纳入项目承担单位绩效工资总量管理，不计入项目承担单位年度绩效工资基数。项目承担单位不得在核定的间接费用以外再以任何名义在项目经费中重复提取、列支相关费用。</w:t>
      </w:r>
    </w:p>
    <w:p w14:paraId="5ECB6900">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第四十七条</w:t>
      </w:r>
      <w:r>
        <w:rPr>
          <w:rFonts w:ascii="方正仿宋_GBK" w:eastAsia="方正仿宋_GBK"/>
          <w:sz w:val="32"/>
          <w:szCs w:val="32"/>
        </w:rPr>
        <w:t xml:space="preserve">  </w:t>
      </w:r>
      <w:r>
        <w:rPr>
          <w:rFonts w:hint="eastAsia" w:ascii="方正仿宋_GBK" w:eastAsia="方正仿宋_GBK"/>
          <w:sz w:val="32"/>
          <w:szCs w:val="32"/>
        </w:rPr>
        <w:t>在项目总预算不变的情况下，项目负责人可根据科研活动实际需要，在预算范围内自主安排经费开支，自主调整直接费用全部科目的经费支出，由项目承担单位办理调剂手续。调剂手续作为项目验收、评估或审计检查的依据。间接经费预算不得调增，经项目承担单位与项目负责人协商一致后，可调减用于直接费用。</w:t>
      </w:r>
    </w:p>
    <w:p w14:paraId="3C8819F7">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第四十八条</w:t>
      </w:r>
      <w:r>
        <w:rPr>
          <w:rFonts w:hint="eastAsia" w:ascii="方正仿宋_GBK" w:eastAsia="方正仿宋_GBK"/>
          <w:sz w:val="32"/>
          <w:szCs w:val="32"/>
        </w:rPr>
        <w:t xml:space="preserve"> </w:t>
      </w:r>
      <w:r>
        <w:rPr>
          <w:rFonts w:ascii="方正仿宋_GBK" w:eastAsia="方正仿宋_GBK"/>
          <w:sz w:val="32"/>
          <w:szCs w:val="32"/>
        </w:rPr>
        <w:t xml:space="preserve"> </w:t>
      </w:r>
      <w:r>
        <w:rPr>
          <w:rFonts w:hint="eastAsia" w:ascii="方正仿宋_GBK" w:eastAsia="方正仿宋_GBK"/>
          <w:sz w:val="32"/>
          <w:szCs w:val="32"/>
        </w:rPr>
        <w:t>项目完成合同书任务并通过验收的，结余资金留归项目承担单位统筹用于科研活动直接支出。结余资金占预算比例超过</w:t>
      </w:r>
      <w:r>
        <w:rPr>
          <w:rFonts w:ascii="Times New Roman" w:eastAsia="方正仿宋_GBK" w:cs="Times New Roman"/>
          <w:sz w:val="32"/>
          <w:szCs w:val="32"/>
        </w:rPr>
        <w:t>20%的</w:t>
      </w:r>
      <w:r>
        <w:rPr>
          <w:rFonts w:hint="eastAsia" w:ascii="方正仿宋_GBK" w:eastAsia="方正仿宋_GBK"/>
          <w:sz w:val="32"/>
          <w:szCs w:val="32"/>
        </w:rPr>
        <w:t>，项目负责人、承担单位应当说明结余资金产生原因。承担单位应当优先考虑原项目团队（项目组）科研需求，对原项目团队两年内仍未使用完的结余资金，承担单位应当加大结余资金盘活力度，在单位内部统筹使用。承担单位应当加强结余资金管理，健全盘活机制，加快使用进度，按年度向主管部门报送结余资金使用情况。</w:t>
      </w:r>
    </w:p>
    <w:p w14:paraId="4C58E0F6">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第四十九条</w:t>
      </w:r>
      <w:r>
        <w:rPr>
          <w:rFonts w:ascii="方正黑体_GBK" w:eastAsia="方正黑体_GBK"/>
          <w:sz w:val="32"/>
          <w:szCs w:val="32"/>
        </w:rPr>
        <w:t xml:space="preserve">  </w:t>
      </w:r>
      <w:r>
        <w:rPr>
          <w:rFonts w:hint="eastAsia" w:ascii="方正仿宋_GBK" w:eastAsia="方正仿宋_GBK"/>
          <w:sz w:val="32"/>
          <w:szCs w:val="32"/>
        </w:rPr>
        <w:t>总结结题、申请终止、撤销立项、强制终止和验收不合格的项目均按原拨付渠道收回结余或全部已拨财政资金，项目撤销立项、强制终止或验收不合格的，应收回全部已拨财政资金；涉及分期拨款的，不再拨付剩余资金。对按规定提交了审计报告的，根据审计报告确定结余资金数额；提供经费决算表的，经项目主管部门核实后按照决算表确定结余资金数额；对项目承担单位因破产倒闭等原因无法提供审计报告、经费决算表或不予配合的，可采取“一事一议”的方式，由市科技局、财政局会商确定收回资金数额。</w:t>
      </w:r>
    </w:p>
    <w:p w14:paraId="08BB1B1B">
      <w:pPr>
        <w:spacing w:before="156" w:beforeLines="50" w:after="156" w:afterLines="50" w:line="550" w:lineRule="exact"/>
        <w:jc w:val="center"/>
        <w:rPr>
          <w:rFonts w:ascii="方正黑体_GBK" w:eastAsia="方正黑体_GBK"/>
          <w:sz w:val="32"/>
          <w:szCs w:val="32"/>
        </w:rPr>
      </w:pPr>
      <w:r>
        <w:rPr>
          <w:rFonts w:hint="eastAsia" w:ascii="方正黑体_GBK" w:eastAsia="方正黑体_GBK"/>
          <w:sz w:val="32"/>
          <w:szCs w:val="32"/>
        </w:rPr>
        <w:t>监督保障</w:t>
      </w:r>
    </w:p>
    <w:p w14:paraId="0D0B9734">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第五十条</w:t>
      </w:r>
      <w:r>
        <w:rPr>
          <w:rFonts w:ascii="方正仿宋_GBK" w:eastAsia="方正仿宋_GBK"/>
          <w:sz w:val="32"/>
          <w:szCs w:val="32"/>
        </w:rPr>
        <w:t xml:space="preserve">  </w:t>
      </w:r>
      <w:r>
        <w:rPr>
          <w:rFonts w:hint="eastAsia" w:ascii="方正仿宋_GBK" w:eastAsia="方正仿宋_GBK"/>
          <w:sz w:val="32"/>
          <w:szCs w:val="32"/>
        </w:rPr>
        <w:t>健全项目管理信息公开、公示制度，主动接受公众监督。信息公开应遵守有关规定，拟立项目清单、项目验收结果原则上应向社会公示，公示期</w:t>
      </w:r>
      <w:r>
        <w:rPr>
          <w:rFonts w:hint="eastAsia" w:ascii="Times New Roman" w:eastAsia="方正仿宋_GBK" w:cs="Times New Roman"/>
          <w:sz w:val="32"/>
          <w:szCs w:val="32"/>
        </w:rPr>
        <w:t>不少于</w:t>
      </w:r>
      <w:r>
        <w:rPr>
          <w:rFonts w:ascii="Times New Roman" w:eastAsia="方正仿宋_GBK" w:cs="Times New Roman"/>
          <w:sz w:val="32"/>
          <w:szCs w:val="32"/>
        </w:rPr>
        <w:t>5</w:t>
      </w:r>
      <w:r>
        <w:rPr>
          <w:rFonts w:hint="eastAsia" w:ascii="Times New Roman" w:eastAsia="方正仿宋_GBK" w:cs="Times New Roman"/>
          <w:sz w:val="32"/>
          <w:szCs w:val="32"/>
        </w:rPr>
        <w:t>个工</w:t>
      </w:r>
      <w:r>
        <w:rPr>
          <w:rFonts w:hint="eastAsia" w:ascii="方正仿宋_GBK" w:eastAsia="方正仿宋_GBK"/>
          <w:sz w:val="32"/>
          <w:szCs w:val="32"/>
        </w:rPr>
        <w:t>作日。</w:t>
      </w:r>
    </w:p>
    <w:p w14:paraId="10B468CE">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第五十一条</w:t>
      </w:r>
      <w:r>
        <w:rPr>
          <w:rFonts w:ascii="方正仿宋_GBK" w:eastAsia="方正仿宋_GBK"/>
          <w:sz w:val="32"/>
          <w:szCs w:val="32"/>
        </w:rPr>
        <w:t xml:space="preserve">  </w:t>
      </w:r>
      <w:r>
        <w:rPr>
          <w:rFonts w:hint="eastAsia" w:ascii="方正仿宋_GBK" w:eastAsia="方正仿宋_GBK"/>
          <w:sz w:val="32"/>
          <w:szCs w:val="32"/>
        </w:rPr>
        <w:t>项目承担单位对项目立项、主要研究人员、资金使用、大型仪器设备购置以及项目研究成果等情况实行内部公开，接受内部监督。</w:t>
      </w:r>
    </w:p>
    <w:p w14:paraId="7425622D">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第五十二条</w:t>
      </w:r>
      <w:r>
        <w:rPr>
          <w:rFonts w:ascii="方正仿宋_GBK" w:eastAsia="方正仿宋_GBK"/>
          <w:sz w:val="32"/>
          <w:szCs w:val="32"/>
        </w:rPr>
        <w:t xml:space="preserve">  </w:t>
      </w:r>
      <w:r>
        <w:rPr>
          <w:rFonts w:hint="eastAsia" w:ascii="方正仿宋_GBK" w:eastAsia="方正仿宋_GBK"/>
          <w:sz w:val="32"/>
          <w:szCs w:val="32"/>
        </w:rPr>
        <w:t>相关单位和个人对公示内容有异议的，可在公示期内向市科技局提出书面异议，并明确异议内容和理由。市科技局对收到的异议应按有关规定登记、分类处理和反馈；异议事项不在权限范围内的，按有关规定移交相关部门和地方处理。</w:t>
      </w:r>
    </w:p>
    <w:p w14:paraId="59345327">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第五十三条</w:t>
      </w:r>
      <w:r>
        <w:rPr>
          <w:rFonts w:ascii="方正仿宋_GBK" w:eastAsia="方正仿宋_GBK"/>
          <w:sz w:val="32"/>
          <w:szCs w:val="32"/>
        </w:rPr>
        <w:t xml:space="preserve">  </w:t>
      </w:r>
      <w:r>
        <w:rPr>
          <w:rFonts w:hint="eastAsia" w:ascii="方正仿宋_GBK" w:eastAsia="方正仿宋_GBK"/>
          <w:sz w:val="32"/>
          <w:szCs w:val="32"/>
        </w:rPr>
        <w:t>参与项目评审、验收、检查等项目管理工作的有关责任主体与项目或异议处理存在利益关系的，有义务主动提出声明并回避。任何单位和个人发现项目责任主体在项目管理中存在应回避事由的，可向市科技局提出回避申请，市科技局审查核实后，作出是否回避的决定。</w:t>
      </w:r>
    </w:p>
    <w:p w14:paraId="4766F448">
      <w:pPr>
        <w:widowControl/>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第五十四条</w:t>
      </w:r>
      <w:r>
        <w:rPr>
          <w:rFonts w:hint="eastAsia" w:ascii="方正仿宋_GBK" w:eastAsia="方正仿宋_GBK"/>
          <w:sz w:val="32"/>
          <w:szCs w:val="32"/>
        </w:rPr>
        <w:t xml:space="preserve">  参加项目全流程管理的相关人员未经市科技局批准不得泄露评审意见、专家名单等信息，对项目的技术内容负有保密责任，擅自披露、使用的，依据有关规定追究相应责任。涉及国家科学技术秘密的，依照《中华人民共和国保守国家秘密法》《科学技术保密规定》处理。</w:t>
      </w:r>
    </w:p>
    <w:p w14:paraId="53B64453">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第五十五条</w:t>
      </w:r>
      <w:r>
        <w:rPr>
          <w:rFonts w:ascii="方正仿宋_GBK" w:eastAsia="方正仿宋_GBK"/>
          <w:sz w:val="32"/>
          <w:szCs w:val="32"/>
        </w:rPr>
        <w:t xml:space="preserve">  </w:t>
      </w:r>
      <w:r>
        <w:rPr>
          <w:rFonts w:hint="eastAsia" w:ascii="方正仿宋_GBK" w:eastAsia="方正仿宋_GBK"/>
          <w:sz w:val="32"/>
          <w:szCs w:val="32"/>
        </w:rPr>
        <w:t>加强市科技计划项目相关责任主体科研信用管理，推行科研诚信承诺制，完善守信激励和失信惩戒机制。项目实施过程中存在科研失信行为的，依据市科研诚信有关管理办法处理。推进科研信用与其他社会领域信用衔接，实施联合奖惩机制。</w:t>
      </w:r>
    </w:p>
    <w:p w14:paraId="1267F9A6">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第五十六条</w:t>
      </w:r>
      <w:r>
        <w:rPr>
          <w:rFonts w:ascii="方正仿宋_GBK" w:eastAsia="方正仿宋_GBK"/>
          <w:sz w:val="32"/>
          <w:szCs w:val="32"/>
        </w:rPr>
        <w:t xml:space="preserve">  </w:t>
      </w:r>
      <w:r>
        <w:rPr>
          <w:rFonts w:hint="eastAsia" w:ascii="方正仿宋_GBK" w:eastAsia="方正仿宋_GBK"/>
          <w:sz w:val="32"/>
          <w:szCs w:val="32"/>
        </w:rPr>
        <w:t>对参与项目全过程管理的有关单位和个人存在滥用职权、玩忽职守、徇私舞弊，相互串通、弄虚作假骗取科技项目，阻挠规避监督检查，利用职务便利谋取私利、输送不正当利益等行为的，依法依规严肃处理，构成犯罪的依法追究法律责任。</w:t>
      </w:r>
    </w:p>
    <w:p w14:paraId="39E11272">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第五十七条</w:t>
      </w:r>
      <w:r>
        <w:rPr>
          <w:rFonts w:ascii="方正仿宋_GBK" w:eastAsia="方正仿宋_GBK"/>
          <w:sz w:val="32"/>
          <w:szCs w:val="32"/>
        </w:rPr>
        <w:t xml:space="preserve">  </w:t>
      </w:r>
      <w:r>
        <w:rPr>
          <w:rFonts w:hint="eastAsia" w:ascii="方正仿宋_GBK" w:eastAsia="方正仿宋_GBK"/>
          <w:sz w:val="32"/>
          <w:szCs w:val="32"/>
        </w:rPr>
        <w:t>对已经勤勉尽责、未谋私利，但因技术路线选择失误或其他不可预见原因，导致未完成项目任务目标的负责人和承担单位，经核准后予以免责，不作负面评价。</w:t>
      </w:r>
    </w:p>
    <w:p w14:paraId="0A8D81A6">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第五十八条</w:t>
      </w:r>
      <w:r>
        <w:rPr>
          <w:rFonts w:ascii="方正仿宋_GBK" w:eastAsia="方正仿宋_GBK"/>
          <w:sz w:val="32"/>
          <w:szCs w:val="32"/>
        </w:rPr>
        <w:t xml:space="preserve">  </w:t>
      </w:r>
      <w:r>
        <w:rPr>
          <w:rFonts w:hint="eastAsia" w:ascii="方正仿宋_GBK" w:eastAsia="方正仿宋_GBK"/>
          <w:sz w:val="32"/>
          <w:szCs w:val="32"/>
        </w:rPr>
        <w:t>强化市科技专家库动态管理，定期更新专家信息，新增职业道德好、专业技术水平高、科技创新政策熟的专家入库，对长期未参与评审、履职不公正客观、不负责任的在库专家，予以清退出库。</w:t>
      </w:r>
    </w:p>
    <w:p w14:paraId="71B375CC">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第五十九条</w:t>
      </w:r>
      <w:r>
        <w:rPr>
          <w:rFonts w:ascii="方正仿宋_GBK" w:eastAsia="方正仿宋_GBK"/>
          <w:sz w:val="32"/>
          <w:szCs w:val="32"/>
        </w:rPr>
        <w:t xml:space="preserve">  </w:t>
      </w:r>
      <w:r>
        <w:rPr>
          <w:rFonts w:hint="eastAsia" w:ascii="方正仿宋_GBK" w:eastAsia="方正仿宋_GBK"/>
          <w:sz w:val="32"/>
          <w:szCs w:val="32"/>
        </w:rPr>
        <w:t>项目承担单位、市科技局应加强项目立项、实施和管理过程中形成的文书档案和电子档案资料的收集、管理和保存。</w:t>
      </w:r>
    </w:p>
    <w:p w14:paraId="0CBB11AB">
      <w:pPr>
        <w:keepNext/>
        <w:spacing w:before="156" w:beforeLines="50" w:after="156" w:afterLines="50" w:line="550" w:lineRule="exact"/>
        <w:jc w:val="center"/>
        <w:rPr>
          <w:rFonts w:ascii="方正黑体_GBK" w:eastAsia="方正黑体_GBK"/>
          <w:sz w:val="32"/>
          <w:szCs w:val="32"/>
        </w:rPr>
      </w:pPr>
      <w:r>
        <w:rPr>
          <w:rFonts w:hint="eastAsia" w:ascii="方正黑体_GBK" w:eastAsia="方正黑体_GBK"/>
          <w:sz w:val="32"/>
          <w:szCs w:val="32"/>
        </w:rPr>
        <w:t>附</w:t>
      </w:r>
      <w:r>
        <w:rPr>
          <w:rFonts w:ascii="方正黑体_GBK" w:eastAsia="方正黑体_GBK"/>
          <w:sz w:val="32"/>
          <w:szCs w:val="32"/>
        </w:rPr>
        <w:t xml:space="preserve">  </w:t>
      </w:r>
      <w:r>
        <w:rPr>
          <w:rFonts w:hint="eastAsia" w:ascii="方正黑体_GBK" w:eastAsia="方正黑体_GBK"/>
          <w:sz w:val="32"/>
          <w:szCs w:val="32"/>
        </w:rPr>
        <w:t>则</w:t>
      </w:r>
    </w:p>
    <w:p w14:paraId="7FA178A7">
      <w:pPr>
        <w:spacing w:line="550" w:lineRule="exact"/>
        <w:ind w:firstLine="640" w:firstLineChars="200"/>
        <w:rPr>
          <w:rFonts w:ascii="方正仿宋_GBK" w:eastAsia="方正仿宋_GBK"/>
          <w:sz w:val="32"/>
          <w:szCs w:val="32"/>
        </w:rPr>
      </w:pPr>
      <w:r>
        <w:rPr>
          <w:rFonts w:hint="eastAsia" w:ascii="方正黑体_GBK" w:eastAsia="方正黑体_GBK"/>
          <w:sz w:val="32"/>
          <w:szCs w:val="32"/>
        </w:rPr>
        <w:t>第六十条</w:t>
      </w:r>
      <w:r>
        <w:rPr>
          <w:rFonts w:ascii="方正仿宋_GBK" w:eastAsia="方正仿宋_GBK"/>
          <w:sz w:val="32"/>
          <w:szCs w:val="32"/>
        </w:rPr>
        <w:t xml:space="preserve">  </w:t>
      </w:r>
      <w:r>
        <w:rPr>
          <w:rFonts w:hint="eastAsia" w:ascii="方正仿宋_GBK" w:eastAsia="方正仿宋_GBK"/>
          <w:sz w:val="32"/>
          <w:szCs w:val="32"/>
        </w:rPr>
        <w:t>根据需要，市科技局可对市科技计划各类项目再行制定具体的管理规程。</w:t>
      </w:r>
    </w:p>
    <w:p w14:paraId="709E8CF6">
      <w:pPr>
        <w:spacing w:line="550" w:lineRule="exact"/>
        <w:ind w:firstLine="640" w:firstLineChars="200"/>
        <w:rPr>
          <w:rFonts w:hint="eastAsia" w:ascii="方正仿宋_GBK" w:hAnsi="方正仿宋_GBK" w:eastAsia="方正仿宋_GBK" w:cs="方正仿宋_GBK"/>
          <w:sz w:val="32"/>
          <w:szCs w:val="32"/>
        </w:rPr>
      </w:pPr>
      <w:r>
        <w:rPr>
          <w:rFonts w:hint="eastAsia" w:ascii="方正黑体_GBK" w:eastAsia="方正黑体_GBK"/>
          <w:sz w:val="32"/>
          <w:szCs w:val="32"/>
        </w:rPr>
        <w:t>第六十一条</w:t>
      </w:r>
      <w:r>
        <w:rPr>
          <w:rFonts w:ascii="方正仿宋_GBK" w:eastAsia="方正仿宋_GBK"/>
          <w:sz w:val="32"/>
          <w:szCs w:val="32"/>
        </w:rPr>
        <w:t xml:space="preserve">  </w:t>
      </w:r>
      <w:r>
        <w:rPr>
          <w:rFonts w:hint="eastAsia" w:ascii="方正仿宋_GBK" w:eastAsia="方正仿宋_GBK"/>
          <w:sz w:val="32"/>
          <w:szCs w:val="32"/>
        </w:rPr>
        <w:t>本办法由宿迁市科学技术局、宿迁市财政局负责解释，自发布</w:t>
      </w:r>
      <w:r>
        <w:rPr>
          <w:rFonts w:ascii="Times New Roman" w:eastAsia="方正仿宋_GBK" w:cs="Times New Roman"/>
          <w:sz w:val="32"/>
          <w:szCs w:val="32"/>
        </w:rPr>
        <w:t>之日起30日后施行。</w:t>
      </w:r>
      <w:r>
        <w:rPr>
          <w:rFonts w:hint="eastAsia" w:ascii="Times New Roman" w:eastAsia="方正仿宋_GBK" w:cs="Times New Roman"/>
          <w:sz w:val="32"/>
          <w:szCs w:val="32"/>
        </w:rPr>
        <w:t>《</w:t>
      </w:r>
      <w:r>
        <w:rPr>
          <w:rFonts w:ascii="Times New Roman" w:eastAsia="方正仿宋_GBK" w:cs="Times New Roman"/>
          <w:sz w:val="32"/>
          <w:szCs w:val="32"/>
        </w:rPr>
        <w:t>宿迁市科技计划项目管理办法</w:t>
      </w:r>
      <w:r>
        <w:rPr>
          <w:rFonts w:hint="eastAsia" w:ascii="Times New Roman" w:eastAsia="方正仿宋_GBK" w:cs="Times New Roman"/>
          <w:sz w:val="32"/>
          <w:szCs w:val="32"/>
        </w:rPr>
        <w:t>》（宿科发〔</w:t>
      </w:r>
      <w:r>
        <w:rPr>
          <w:rFonts w:ascii="Times New Roman" w:eastAsia="方正仿宋_GBK" w:cs="Times New Roman"/>
          <w:sz w:val="32"/>
          <w:szCs w:val="32"/>
        </w:rPr>
        <w:t>20</w:t>
      </w:r>
      <w:r>
        <w:rPr>
          <w:rFonts w:hint="eastAsia" w:ascii="Times New Roman" w:eastAsia="方正仿宋_GBK" w:cs="Times New Roman"/>
          <w:sz w:val="32"/>
          <w:szCs w:val="32"/>
        </w:rPr>
        <w:t>20〕71号）、</w:t>
      </w:r>
      <w:r>
        <w:rPr>
          <w:rFonts w:ascii="Times New Roman" w:eastAsia="方正仿宋_GBK" w:cs="Times New Roman"/>
          <w:sz w:val="32"/>
          <w:szCs w:val="32"/>
        </w:rPr>
        <w:t>《宿迁市科技计划项目管理办法（2023年修订）</w:t>
      </w:r>
      <w:r>
        <w:rPr>
          <w:rFonts w:hint="eastAsia" w:ascii="方正仿宋_GBK" w:eastAsia="方正仿宋_GBK"/>
          <w:sz w:val="32"/>
          <w:szCs w:val="32"/>
        </w:rPr>
        <w:t>》（</w:t>
      </w:r>
      <w:r>
        <w:rPr>
          <w:rFonts w:hint="eastAsia" w:ascii="Times New Roman" w:eastAsia="方正仿宋_GBK" w:cs="Times New Roman"/>
          <w:sz w:val="32"/>
          <w:szCs w:val="32"/>
        </w:rPr>
        <w:t>宿科发〔</w:t>
      </w:r>
      <w:r>
        <w:rPr>
          <w:rFonts w:ascii="Times New Roman" w:eastAsia="方正仿宋_GBK" w:cs="Times New Roman"/>
          <w:sz w:val="32"/>
          <w:szCs w:val="32"/>
        </w:rPr>
        <w:t>20</w:t>
      </w:r>
      <w:r>
        <w:rPr>
          <w:rFonts w:hint="eastAsia" w:ascii="Times New Roman" w:eastAsia="方正仿宋_GBK" w:cs="Times New Roman"/>
          <w:sz w:val="32"/>
          <w:szCs w:val="32"/>
        </w:rPr>
        <w:t>23〕17号</w:t>
      </w:r>
      <w:r>
        <w:rPr>
          <w:rFonts w:hint="eastAsia" w:ascii="方正仿宋_GBK" w:eastAsia="方正仿宋_GBK"/>
          <w:sz w:val="32"/>
          <w:szCs w:val="32"/>
        </w:rPr>
        <w:t>）同时废止。</w:t>
      </w:r>
      <w:r>
        <mc:AlternateContent>
          <mc:Choice Requires="wps">
            <w:drawing>
              <wp:anchor distT="0" distB="0" distL="114300" distR="114300" simplePos="0" relativeHeight="251662336" behindDoc="0" locked="0" layoutInCell="1" allowOverlap="1">
                <wp:simplePos x="0" y="0"/>
                <wp:positionH relativeFrom="column">
                  <wp:posOffset>3430270</wp:posOffset>
                </wp:positionH>
                <wp:positionV relativeFrom="paragraph">
                  <wp:posOffset>8128000</wp:posOffset>
                </wp:positionV>
                <wp:extent cx="2224405" cy="299085"/>
                <wp:effectExtent l="11430" t="11430" r="12065" b="13335"/>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24405" cy="299085"/>
                        </a:xfrm>
                        <a:prstGeom prst="rect">
                          <a:avLst/>
                        </a:prstGeom>
                        <a:solidFill>
                          <a:srgbClr val="FFFFFF"/>
                        </a:solidFill>
                        <a:ln w="9525">
                          <a:solidFill>
                            <a:srgbClr val="FFFFFF"/>
                          </a:solidFill>
                          <a:miter lim="800000"/>
                        </a:ln>
                      </wps:spPr>
                      <wps:txbx>
                        <w:txbxContent>
                          <w:p w14:paraId="25AE50A9"/>
                        </w:txbxContent>
                      </wps:txbx>
                      <wps:bodyPr rot="0" vert="horz" wrap="square" lIns="91440" tIns="45720" rIns="91440" bIns="45720" anchor="t" anchorCtr="0" upright="1">
                        <a:spAutoFit/>
                      </wps:bodyPr>
                    </wps:wsp>
                  </a:graphicData>
                </a:graphic>
              </wp:anchor>
            </w:drawing>
          </mc:Choice>
          <mc:Fallback>
            <w:pict>
              <v:shape id="_x0000_s1026" o:spid="_x0000_s1026" o:spt="202" type="#_x0000_t202" style="position:absolute;left:0pt;margin-left:270.1pt;margin-top:640pt;height:23.55pt;width:175.15pt;z-index:251662336;mso-width-relative:page;mso-height-relative:page;" fillcolor="#FFFFFF" filled="t" stroked="t" coordsize="21600,21600" o:gfxdata="UEsDBAoAAAAAAIdO4kAAAAAAAAAAAAAAAAAEAAAAZHJzL1BLAwQUAAAACACHTuJAB6W4DdwAAAAN&#10;AQAADwAAAGRycy9kb3ducmV2LnhtbE2PwU7DMBBE70j8g7VI3KgdQ1sT4vRQQBWqQCItdydxk4h4&#10;HcVOW/h6lhMcd+ZpdiZbnV3PjnYMnUcNyUwAs1j5usNGw373fKOAhWiwNr1Hq+HLBljllxeZSWt/&#10;wnd7LGLDKARDajS0MQ4p56FqrTNh5geL5B386Eykc2x4PZoThbueSyEW3JkO6UNrBrtubfVZTE6D&#10;fDXxpThsNgu1Lb/368c39fQxaX19lYgHYNGe4x8Mv/WpOuTUqfQT1oH1GuZ3QhJKhlSCVhGi7sUc&#10;WEnSrVwmwPOM/1+R/wBQSwMEFAAAAAgAh07iQC2F/jk9AgAAhwQAAA4AAABkcnMvZTJvRG9jLnht&#10;bK1UzW7UMBC+I/EOlu802WgXulGzVWm1CKn8SIUH8DrOxsL2mLF3k/IA8AY9ceHOc/U5mDhpWcql&#10;QuRgzXjG38x8M5OT094atlcYNLiKz45yzpSTUGu3rfjHD+tnx5yFKFwtDDhV8WsV+Onq6ZOTzpeq&#10;gBZMrZARiAtl5yvexujLLAuyVVaEI/DKkbEBtCKSitusRtERujVZkefPsw6w9ghShUC3F6ORT4j4&#10;GEBoGi3VBcidVS6OqKiMiFRSaLUPfJWybRol47umCSoyU3GqNKaTgpC8Gc5sdSLKLQrfajmlIB6T&#10;woOarNCOgt5DXYgo2A71X1BWS4QATTySYLOxkMQIVTHLH3Bz1QqvUi1EdfD3pIf/Byvf7t8j03XF&#10;55w5Yanhtzffbr//vP3xlc0HejofSvK68uQX+5fQ09CkUoO/BPkpMAfnrXBbdYYIXatETenNhpfZ&#10;wdMRJwwgm+4N1BRH7CIkoL5BO3BHbDBCp9Zc37dG9ZFJuiyKYj7PF5xJshXLZX68SCFEeffaY4iv&#10;FFg2CBVHan1CF/vLEIdsRHnnMgQLYHS91sYkBbebc4NsL2hM1umb0P9wM451FV8uisVIwD9AWB1p&#10;e4y2FT/Oh2+KY9zE10DRSFbsN/3E/wbqa2IOYZxf2l4SWsAvnHU0uxUPn3cCFWfmtSP2lzPiioY9&#10;KfPFi4IUPLRsDi3CSYKqeORsFM/juCA7j3rbUqS7fp9Rx9Y6kTm0dsxqypvmM3E87dKwAId68vr9&#10;/1j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eluA3cAAAADQEAAA8AAAAAAAAAAQAgAAAAIgAA&#10;AGRycy9kb3ducmV2LnhtbFBLAQIUABQAAAAIAIdO4kAthf45PQIAAIcEAAAOAAAAAAAAAAEAIAAA&#10;ACsBAABkcnMvZTJvRG9jLnhtbFBLBQYAAAAABgAGAFkBAADaBQAAAAA=&#10;">
                <v:fill on="t" focussize="0,0"/>
                <v:stroke color="#FFFFFF" miterlimit="8" joinstyle="miter"/>
                <v:imagedata o:title=""/>
                <o:lock v:ext="edit" aspectratio="f"/>
                <v:textbox style="mso-fit-shape-to-text:t;">
                  <w:txbxContent>
                    <w:p w14:paraId="25AE50A9"/>
                  </w:txbxContent>
                </v:textbox>
              </v:shape>
            </w:pict>
          </mc:Fallback>
        </mc:AlternateContent>
      </w:r>
    </w:p>
    <w:p w14:paraId="0D92A199">
      <w:pPr>
        <w:spacing w:line="600" w:lineRule="exact"/>
        <w:ind w:firstLine="640"/>
        <w:rPr>
          <w:rFonts w:hint="eastAsia" w:ascii="方正仿宋_GBK" w:hAnsi="方正仿宋_GBK" w:eastAsia="方正仿宋_GBK" w:cs="方正仿宋_GBK"/>
          <w:sz w:val="32"/>
          <w:szCs w:val="32"/>
        </w:rPr>
      </w:pPr>
    </w:p>
    <w:p w14:paraId="4D4E112B">
      <w:pPr>
        <w:spacing w:line="240" w:lineRule="exact"/>
        <w:ind w:firstLine="641"/>
        <w:rPr>
          <w:rFonts w:hint="eastAsia" w:ascii="方正仿宋_GBK" w:hAnsi="方正仿宋_GBK" w:eastAsia="方正仿宋_GBK" w:cs="方正仿宋_GBK"/>
          <w:sz w:val="32"/>
          <w:szCs w:val="32"/>
        </w:rPr>
      </w:pPr>
    </w:p>
    <w:p w14:paraId="2346A705">
      <w:pPr>
        <w:spacing w:line="280" w:lineRule="exact"/>
        <w:ind w:firstLine="641"/>
        <w:rPr>
          <w:rFonts w:hint="eastAsia" w:ascii="方正仿宋_GBK" w:hAnsi="方正仿宋_GBK" w:eastAsia="方正仿宋_GBK" w:cs="方正仿宋_GBK"/>
          <w:sz w:val="32"/>
          <w:szCs w:val="32"/>
        </w:rPr>
      </w:pPr>
    </w:p>
    <w:p w14:paraId="4C9716DD">
      <w:pPr>
        <w:spacing w:line="240" w:lineRule="exact"/>
        <w:ind w:firstLine="641"/>
        <w:rPr>
          <w:rFonts w:hint="eastAsia" w:ascii="方正仿宋_GBK" w:hAnsi="方正仿宋_GBK" w:eastAsia="方正仿宋_GBK" w:cs="方正仿宋_GBK"/>
          <w:sz w:val="32"/>
          <w:szCs w:val="32"/>
        </w:rPr>
      </w:pPr>
    </w:p>
    <w:p w14:paraId="5B54EEA1">
      <w:pPr>
        <w:spacing w:line="240" w:lineRule="exact"/>
        <w:ind w:firstLine="641"/>
        <w:rPr>
          <w:rFonts w:hint="eastAsia" w:ascii="方正仿宋_GBK" w:hAnsi="方正仿宋_GBK" w:eastAsia="方正仿宋_GBK" w:cs="方正仿宋_GBK"/>
          <w:sz w:val="32"/>
          <w:szCs w:val="32"/>
        </w:rPr>
      </w:pPr>
    </w:p>
    <w:p w14:paraId="6453883A">
      <w:pPr>
        <w:spacing w:line="240" w:lineRule="exact"/>
        <w:ind w:firstLine="641"/>
        <w:rPr>
          <w:rFonts w:hint="eastAsia" w:ascii="方正仿宋_GBK" w:hAnsi="方正仿宋_GBK" w:eastAsia="方正仿宋_GBK" w:cs="方正仿宋_GBK"/>
          <w:sz w:val="32"/>
          <w:szCs w:val="32"/>
        </w:rPr>
      </w:pPr>
    </w:p>
    <w:p w14:paraId="7DB26A6C">
      <w:pPr>
        <w:spacing w:line="240" w:lineRule="exact"/>
        <w:ind w:firstLine="641"/>
        <w:rPr>
          <w:rFonts w:hint="eastAsia" w:ascii="方正仿宋_GBK" w:hAnsi="方正仿宋_GBK" w:eastAsia="方正仿宋_GBK" w:cs="方正仿宋_GBK"/>
          <w:sz w:val="32"/>
          <w:szCs w:val="32"/>
        </w:rPr>
      </w:pPr>
    </w:p>
    <w:p w14:paraId="7E2C4BE8">
      <w:pPr>
        <w:spacing w:line="240" w:lineRule="exact"/>
        <w:ind w:firstLine="641"/>
        <w:rPr>
          <w:rFonts w:hint="eastAsia" w:ascii="方正仿宋_GBK" w:hAnsi="方正仿宋_GBK" w:eastAsia="方正仿宋_GBK" w:cs="方正仿宋_GBK"/>
          <w:sz w:val="32"/>
          <w:szCs w:val="32"/>
        </w:rPr>
      </w:pPr>
    </w:p>
    <w:p w14:paraId="775927DF">
      <w:pPr>
        <w:spacing w:line="240" w:lineRule="exact"/>
        <w:ind w:firstLine="641"/>
        <w:rPr>
          <w:rFonts w:hint="eastAsia" w:ascii="方正仿宋_GBK" w:hAnsi="方正仿宋_GBK" w:eastAsia="方正仿宋_GBK" w:cs="方正仿宋_GBK"/>
          <w:sz w:val="32"/>
          <w:szCs w:val="32"/>
        </w:rPr>
      </w:pPr>
    </w:p>
    <w:p w14:paraId="7E6B7156">
      <w:pPr>
        <w:spacing w:line="240" w:lineRule="exact"/>
        <w:ind w:firstLine="641"/>
        <w:rPr>
          <w:rFonts w:hint="eastAsia" w:ascii="方正仿宋_GBK" w:hAnsi="方正仿宋_GBK" w:eastAsia="方正仿宋_GBK" w:cs="方正仿宋_GBK"/>
          <w:sz w:val="32"/>
          <w:szCs w:val="32"/>
        </w:rPr>
      </w:pPr>
    </w:p>
    <w:p w14:paraId="54CC7AB7">
      <w:pPr>
        <w:spacing w:line="240" w:lineRule="exact"/>
        <w:ind w:firstLine="641"/>
        <w:rPr>
          <w:rFonts w:hint="eastAsia" w:ascii="方正仿宋_GBK" w:hAnsi="方正仿宋_GBK" w:eastAsia="方正仿宋_GBK" w:cs="方正仿宋_GBK"/>
          <w:sz w:val="32"/>
          <w:szCs w:val="32"/>
        </w:rPr>
      </w:pPr>
    </w:p>
    <w:p w14:paraId="752BBDD5">
      <w:pPr>
        <w:spacing w:line="240" w:lineRule="exact"/>
        <w:ind w:firstLine="641"/>
        <w:rPr>
          <w:rFonts w:hint="eastAsia" w:ascii="方正仿宋_GBK" w:hAnsi="方正仿宋_GBK" w:eastAsia="方正仿宋_GBK" w:cs="方正仿宋_GBK"/>
          <w:sz w:val="32"/>
          <w:szCs w:val="32"/>
        </w:rPr>
      </w:pPr>
    </w:p>
    <w:p w14:paraId="117477DD">
      <w:pPr>
        <w:spacing w:line="240" w:lineRule="exact"/>
        <w:ind w:firstLine="641"/>
        <w:rPr>
          <w:rFonts w:hint="eastAsia" w:ascii="方正仿宋_GBK" w:hAnsi="方正仿宋_GBK" w:eastAsia="方正仿宋_GBK" w:cs="方正仿宋_GBK"/>
          <w:sz w:val="32"/>
          <w:szCs w:val="32"/>
        </w:rPr>
      </w:pPr>
    </w:p>
    <w:p w14:paraId="529CDE7E">
      <w:pPr>
        <w:spacing w:line="240" w:lineRule="exact"/>
        <w:ind w:firstLine="641"/>
        <w:rPr>
          <w:rFonts w:hint="eastAsia" w:ascii="方正仿宋_GBK" w:hAnsi="方正仿宋_GBK" w:eastAsia="方正仿宋_GBK" w:cs="方正仿宋_GBK"/>
          <w:sz w:val="32"/>
          <w:szCs w:val="32"/>
        </w:rPr>
      </w:pPr>
    </w:p>
    <w:p w14:paraId="084692DC">
      <w:pPr>
        <w:spacing w:line="240" w:lineRule="exact"/>
        <w:ind w:firstLine="641"/>
        <w:rPr>
          <w:rFonts w:hint="eastAsia" w:ascii="方正仿宋_GBK" w:hAnsi="方正仿宋_GBK" w:eastAsia="方正仿宋_GBK" w:cs="方正仿宋_GBK"/>
          <w:sz w:val="32"/>
          <w:szCs w:val="32"/>
        </w:rPr>
      </w:pPr>
    </w:p>
    <w:p w14:paraId="2DA05495">
      <w:pPr>
        <w:spacing w:line="240" w:lineRule="exact"/>
        <w:ind w:firstLine="641"/>
        <w:rPr>
          <w:rFonts w:hint="eastAsia" w:ascii="方正仿宋_GBK" w:hAnsi="方正仿宋_GBK" w:eastAsia="方正仿宋_GBK" w:cs="方正仿宋_GBK"/>
          <w:sz w:val="32"/>
          <w:szCs w:val="32"/>
        </w:rPr>
      </w:pPr>
    </w:p>
    <w:p w14:paraId="7AD22BAC">
      <w:pPr>
        <w:spacing w:line="240" w:lineRule="exact"/>
        <w:ind w:firstLine="641"/>
        <w:rPr>
          <w:rFonts w:hint="eastAsia" w:ascii="方正仿宋_GBK" w:hAnsi="方正仿宋_GBK" w:eastAsia="方正仿宋_GBK" w:cs="方正仿宋_GBK"/>
          <w:sz w:val="32"/>
          <w:szCs w:val="32"/>
        </w:rPr>
      </w:pPr>
    </w:p>
    <w:p w14:paraId="1CE3FDED">
      <w:pPr>
        <w:spacing w:line="240" w:lineRule="exact"/>
        <w:ind w:firstLine="641"/>
        <w:rPr>
          <w:rFonts w:hint="eastAsia" w:ascii="方正仿宋_GBK" w:hAnsi="方正仿宋_GBK" w:eastAsia="方正仿宋_GBK" w:cs="方正仿宋_GBK"/>
          <w:sz w:val="32"/>
          <w:szCs w:val="32"/>
        </w:rPr>
      </w:pPr>
    </w:p>
    <w:p w14:paraId="653A70B9">
      <w:pPr>
        <w:spacing w:line="240" w:lineRule="exact"/>
        <w:ind w:firstLine="641"/>
        <w:rPr>
          <w:rFonts w:hint="eastAsia" w:ascii="方正仿宋_GBK" w:hAnsi="方正仿宋_GBK" w:eastAsia="方正仿宋_GBK" w:cs="方正仿宋_GBK"/>
          <w:sz w:val="32"/>
          <w:szCs w:val="32"/>
        </w:rPr>
      </w:pPr>
    </w:p>
    <w:p w14:paraId="71912DFC">
      <w:pPr>
        <w:spacing w:line="240" w:lineRule="exact"/>
        <w:ind w:firstLine="641"/>
        <w:rPr>
          <w:rFonts w:hint="eastAsia" w:ascii="方正仿宋_GBK" w:hAnsi="方正仿宋_GBK" w:eastAsia="方正仿宋_GBK" w:cs="方正仿宋_GBK"/>
          <w:sz w:val="32"/>
          <w:szCs w:val="32"/>
        </w:rPr>
      </w:pPr>
    </w:p>
    <w:p w14:paraId="70880CA6">
      <w:pPr>
        <w:spacing w:line="580" w:lineRule="exact"/>
        <w:jc w:val="center"/>
        <w:rPr>
          <w:rFonts w:ascii="Times New Roman" w:eastAsia="方正仿宋_GBK" w:cs="Times New Roman"/>
          <w:spacing w:val="-4"/>
          <w:kern w:val="0"/>
          <w:sz w:val="32"/>
          <w:szCs w:val="32"/>
        </w:rPr>
      </w:pPr>
      <w: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400685</wp:posOffset>
                </wp:positionV>
                <wp:extent cx="5611495" cy="2540"/>
                <wp:effectExtent l="12700" t="9525" r="14605" b="1651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1495" cy="2540"/>
                        </a:xfrm>
                        <a:prstGeom prst="line">
                          <a:avLst/>
                        </a:prstGeom>
                        <a:noFill/>
                        <a:ln w="15875">
                          <a:solidFill>
                            <a:srgbClr val="000000"/>
                          </a:solidFill>
                          <a:round/>
                        </a:ln>
                      </wps:spPr>
                      <wps:bodyPr/>
                    </wps:wsp>
                  </a:graphicData>
                </a:graphic>
              </wp:anchor>
            </w:drawing>
          </mc:Choice>
          <mc:Fallback>
            <w:pict>
              <v:line id="_x0000_s1026" o:spid="_x0000_s1026" o:spt="20" style="position:absolute;left:0pt;margin-top:31.55pt;height:0.2pt;width:441.85pt;mso-position-horizontal:center;z-index:251661312;mso-width-relative:page;mso-height-relative:page;" filled="f" stroked="t" coordsize="21600,21600" o:gfxdata="UEsDBAoAAAAAAIdO4kAAAAAAAAAAAAAAAAAEAAAAZHJzL1BLAwQUAAAACACHTuJAdB5YQtYAAAAG&#10;AQAADwAAAGRycy9kb3ducmV2LnhtbE2PzU7DMBCE70i8g7VI3KgTCk0UsqlQJSQuFLXwANt4m0TE&#10;6yh2f9Knxz3BcWdGM9+Wy7Pt1ZFH3zlBSGcJKJbamU4ahO+vt4cclA8khnonjDCxh2V1e1NSYdxJ&#10;NnzchkbFEvEFIbQhDIXWvm7Zkp+5gSV6ezdaCvEcG21GOsVy2+vHJFloS53EhZYGXrVc/2wPFmGz&#10;cuvsdXj6fF+Hj312uUxcNxPi/V2avIAKfA5/YbjiR3SoItPOHcR41SPERwLCYp6Cim6ezzNQu6vw&#10;DLoq9X/86hdQSwMEFAAAAAgAh07iQH+EEFfqAQAArgMAAA4AAABkcnMvZTJvRG9jLnhtbK1TwW4T&#10;MRC9I/EPlu9kk7QpZZVND4nKpUCklg+YeL1ZC9tj2U42+Ql+AIkbnDhy528on8HYm4RSLj2wB8v2&#10;zLx57413erUzmm2lDwptxUeDIWfSCqyVXVf8/d31i0vOQgRbg0YrK76XgV/Nnj+bdq6UY2xR19Iz&#10;ArGh7FzF2xhdWRRBtNJAGKCTloINegORjn5d1B46Qje6GA+HF0WHvnYehQyBbhd9kB8Q/VMAsWmU&#10;kAsUGyNt7FG91BBJUmiVC3yW2TaNFPFd0wQZma44KY15pSa0X6W1mE2hXHtwrRIHCvAUCo80GVCW&#10;mp6gFhCBbbz6B8oo4TFgEwcCTdELyY6QitHwkTe3LTiZtZDVwZ1MD/8PVrzdLj1TdcXPOLNgaOD3&#10;n77//Pjl14/PtN5/+8rOkkmdCyXlzu3SJ5liZ2/dDYoPgVmct2DXMpO92ztCGKWK4q+SdAiOWq26&#10;N1hTDmwiZsd2jTcJkrxguzyY/WkwcheZoMvJxWh0/mrCmaDYeHKe51ZAeax1PsTXEg1Lm4prZZNt&#10;UML2JsTEBcpjSrq2eK20zqPXlnVEeHL5cpIrAmpVp2jKC369mmvPtpBeT/6yMoo8TPO4sXXfRduD&#10;8KS1d22F9X7pj4bQGDOdw5NL7+ThOVf/+c1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0HlhC&#10;1gAAAAYBAAAPAAAAAAAAAAEAIAAAACIAAABkcnMvZG93bnJldi54bWxQSwECFAAUAAAACACHTuJA&#10;f4QQV+oBAACuAwAADgAAAAAAAAABACAAAAAlAQAAZHJzL2Uyb0RvYy54bWxQSwUGAAAAAAYABgBZ&#10;AQAAgQU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57785</wp:posOffset>
                </wp:positionV>
                <wp:extent cx="5609590" cy="2540"/>
                <wp:effectExtent l="12700" t="9525" r="16510" b="1651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9590" cy="2540"/>
                        </a:xfrm>
                        <a:prstGeom prst="line">
                          <a:avLst/>
                        </a:prstGeom>
                        <a:noFill/>
                        <a:ln w="15875">
                          <a:solidFill>
                            <a:srgbClr val="000000"/>
                          </a:solidFill>
                          <a:round/>
                        </a:ln>
                      </wps:spPr>
                      <wps:bodyPr/>
                    </wps:wsp>
                  </a:graphicData>
                </a:graphic>
              </wp:anchor>
            </w:drawing>
          </mc:Choice>
          <mc:Fallback>
            <w:pict>
              <v:line id="_x0000_s1026" o:spid="_x0000_s1026" o:spt="20" style="position:absolute;left:0pt;margin-top:4.55pt;height:0.2pt;width:441.7pt;mso-position-horizontal:center;z-index:251659264;mso-width-relative:page;mso-height-relative:page;" filled="f" stroked="t" coordsize="21600,21600" o:gfxdata="UEsDBAoAAAAAAIdO4kAAAAAAAAAAAAAAAAAEAAAAZHJzL1BLAwQUAAAACACHTuJAUCwCodUAAAAE&#10;AQAADwAAAGRycy9kb3ducmV2LnhtbE2PzU7DMBCE70i8g7VI3KgTKDSkcSpUCYkLrVp4ADfeJlHj&#10;dRRvf9KnZznBcTSjmW+KxcV36oRDbAMZSCcJKKQquJZqA99f7w8ZqMiWnO0CoYERIyzK25vC5i6c&#10;aYOnLddKSijm1kDD3Odax6pBb+Mk9Eji7cPgLYscau0Ge5Zy3+nHJHnR3rYkC43tcdlgddgevYHN&#10;Mqxmb/10/bHiz/3seh2xqkdj7u/SZA6K8cJ/YfjFF3QohWkXjuSi6gzIETbwmoISM8uepqB2op9B&#10;l4X+D1/+AFBLAwQUAAAACACHTuJACdWYpekBAACuAwAADgAAAGRycy9lMm9Eb2MueG1srVNLjhMx&#10;EN0jcQfLe9JJRIaZVjqzSDRsBog0wwEqbnfawnZZtpNOLsEFkNjBiiV7bsNwDMruJMxnMwt6Ydmu&#10;qlf13nNPL3dGs630QaGt+Ggw5ExagbWy64p/vL16dc5ZiGBr0Ghlxfcy8MvZyxfTzpVyjC3qWnpG&#10;IDaUnat4G6MriyKIVhoIA3TSUrBBbyDS0a+L2kNH6EYX4+HwrOjQ186jkCHQ7aIP8gOifw4gNo0S&#10;coFiY6SNPaqXGiJRCq1ygc/ytE0jRfzQNEFGpitOTGNeqQntV2ktZlMo1x5cq8RhBHjOCI84GVCW&#10;mp6gFhCBbbx6AmWU8BiwiQOBpuiJZEWIxWj4SJubFpzMXEjq4E6ih/8HK95vl56puuJjziwYMvzu&#10;y8/fn7/9+fWV1rsf39k4idS5UFLu3C59oil29sZdo/gUmMV5C3Yt87C3e0cIo1RRPChJh+Co1ap7&#10;hzXlwCZiVmzXeJMgSQu2y8bsT8bIXWSCLidnw4vJBXkmKDaevM6+FVAea50P8a1Ew9Km4lrZJBuU&#10;sL0OMc0C5TElXVu8Ulpn67VlHQ08OX8zyRUBtapTNOUFv17NtWdbSK8nf5kZRe6nedzYuu+i7YF4&#10;4tqrtsJ6v/RHQcjGPM7hyaV3cv+cq//9Zr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CwCodUA&#10;AAAEAQAADwAAAAAAAAABACAAAAAiAAAAZHJzL2Rvd25yZXYueG1sUEsBAhQAFAAAAAgAh07iQAnV&#10;mKXpAQAArgMAAA4AAAAAAAAAAQAgAAAAJAEAAGRycy9lMm9Eb2MueG1sUEsFBgAAAAAGAAYAWQEA&#10;AH8FA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4662805</wp:posOffset>
                </wp:positionH>
                <wp:positionV relativeFrom="paragraph">
                  <wp:posOffset>697230</wp:posOffset>
                </wp:positionV>
                <wp:extent cx="1329055" cy="669925"/>
                <wp:effectExtent l="0" t="635" r="0" b="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1329055" cy="669925"/>
                        </a:xfrm>
                        <a:prstGeom prst="rect">
                          <a:avLst/>
                        </a:prstGeom>
                        <a:no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67.15pt;margin-top:54.9pt;height:52.75pt;width:104.65pt;z-index:251660288;mso-width-relative:page;mso-height-relative:page;" filled="f" stroked="f" coordsize="21600,21600" o:gfxdata="UEsDBAoAAAAAAIdO4kAAAAAAAAAAAAAAAAAEAAAAZHJzL1BLAwQUAAAACACHTuJAflJdI9wAAAAL&#10;AQAADwAAAGRycy9kb3ducmV2LnhtbE2PQU/CQBCF7yb+h82YeDGyW4ogtVsOJEZiTIgFOS/t2DZ2&#10;Z0t3afHfO570OHlf3nwvXV1sKwbsfeNIQzRRIJAKVzZUadjvnu8fQfhgqDStI9TwjR5W2fVVapLS&#10;jfSOQx4qwSXkE6OhDqFLpPRFjdb4ieuQOPt0vTWBz76SZW9GLretnCo1l9Y0xB9q0+G6xuIrP1sN&#10;Y7EdDru3F7m9O2wcnTandf7xqvXtTaSeQAS8hD8YfvVZHTJ2OrozlV60GhbxLGaUA7XkDUwsZ/Ec&#10;xFHDNHqIQWap/L8h+wFQSwMEFAAAAAgAh07iQLyDKCQGAgAA/QMAAA4AAABkcnMvZTJvRG9jLnht&#10;bK1TwY7TMBC9I/EPlu80SWkLjZquVlstQlpgpYUPcB2nsYg9Zuw2LT+DxI2P4HMQv8HY6ZbuctkD&#10;F8vjGT+/92a8uNibju0Ueg224sUo50xZCbW2m4p/+nj94jVnPghbiw6sqvhBeX6xfP5s0btSjaGF&#10;rlbICMT6sncVb0NwZZZ52Soj/AicspRsAI0IFOImq1H0hG66bJzns6wHrB2CVN7T6WpI8iMiPgUQ&#10;mkZLtQK5NcqGARVVJwJJ8q12ni8T26ZRMnxoGq8C6ypOSkNa6RHar+OaLRei3KBwrZZHCuIpFB5p&#10;MkJbevQEtRJBsC3qf6CMlggemjCSYLJBSHKEVBT5I2/uWuFU0kJWe3cy3f8/WPl+d4tM1zQJnFlh&#10;qOG/v/349fM7K6I3vfMlldy5W4zqvLsB+dkzC1etsBt1iQh9q0RNjFJ99uBCDDxdZev+HdQELbYB&#10;kk37Bk0EJAPYPnXjcOqG2gcm6bB4OZ7n0ylnknKz2Xw+nkZKmSjvbzv04Y0Cw+Km4kjdTuhid+PD&#10;UHpfEh+zcK27LnW8sw8OCDOeJPaR8CB8DfWByCMMU0N/hjYt4FfOepqYivsvW4GKs+6tJQPmxWQS&#10;RywFk+mrMQV4nlmfZ4SVBFXxwNmwvQrDWG4d6k1LLxVJi4VLMq3RSU80dGB1JEtTkRw5TnAcu/M4&#10;Vf39tc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lJdI9wAAAALAQAADwAAAAAAAAABACAAAAAi&#10;AAAAZHJzL2Rvd25yZXYueG1sUEsBAhQAFAAAAAgAh07iQLyDKCQGAgAA/QMAAA4AAAAAAAAAAQAg&#10;AAAAKwEAAGRycy9lMm9Eb2MueG1sUEsFBgAAAAAGAAYAWQEAAKMFAAAAAA==&#10;">
                <v:fill on="f" focussize="0,0"/>
                <v:stroke on="f"/>
                <v:imagedata o:title=""/>
                <o:lock v:ext="edit" aspectratio="f"/>
              </v:rect>
            </w:pict>
          </mc:Fallback>
        </mc:AlternateContent>
      </w:r>
      <w:r>
        <w:rPr>
          <w:rFonts w:hint="eastAsia" w:ascii="Times New Roman" w:eastAsia="方正仿宋_GBK" w:cs="Times New Roman"/>
          <w:sz w:val="28"/>
          <w:szCs w:val="28"/>
        </w:rPr>
        <w:t>宿迁市科学技术局办公室</w:t>
      </w:r>
      <w:r>
        <w:rPr>
          <w:rFonts w:ascii="Times New Roman" w:eastAsia="方正仿宋_GBK" w:cs="Times New Roman"/>
          <w:sz w:val="28"/>
          <w:szCs w:val="28"/>
        </w:rPr>
        <w:t xml:space="preserve">                    20</w:t>
      </w:r>
      <w:r>
        <w:rPr>
          <w:rFonts w:hint="eastAsia" w:ascii="Times New Roman" w:eastAsia="方正仿宋_GBK" w:cs="Times New Roman"/>
          <w:sz w:val="28"/>
          <w:szCs w:val="28"/>
        </w:rPr>
        <w:t>26年7月20日印发</w:t>
      </w:r>
    </w:p>
    <w:p w14:paraId="2E5A29A0">
      <w:pPr>
        <w:spacing w:line="80" w:lineRule="exact"/>
      </w:pPr>
    </w:p>
    <w:sectPr>
      <w:footerReference r:id="rId3" w:type="default"/>
      <w:footerReference r:id="rId4" w:type="even"/>
      <w:pgSz w:w="11906" w:h="16838"/>
      <w:pgMar w:top="2098" w:right="1531" w:bottom="1928"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ACC0580-326D-4A3B-B7E9-BE253C375FF5}"/>
  </w:font>
  <w:font w:name="黑体">
    <w:panose1 w:val="02010609060101010101"/>
    <w:charset w:val="86"/>
    <w:family w:val="auto"/>
    <w:pitch w:val="default"/>
    <w:sig w:usb0="800002BF" w:usb1="38CF7CFA" w:usb2="00000016" w:usb3="00000000" w:csb0="00040001" w:csb1="00000000"/>
    <w:embedRegular r:id="rId2" w:fontKey="{6C1BA4F2-72E0-4DF4-92E1-964D2BDBDF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A16BF62-EC13-4245-9058-9B885A10C07E}"/>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1CB94AC8-FB27-4421-B99C-8B27633934A3}"/>
  </w:font>
  <w:font w:name="方正仿宋_GBK">
    <w:panose1 w:val="03000509000000000000"/>
    <w:charset w:val="86"/>
    <w:family w:val="script"/>
    <w:pitch w:val="default"/>
    <w:sig w:usb0="00000001" w:usb1="080E0000" w:usb2="00000000" w:usb3="00000000" w:csb0="00040000" w:csb1="00000000"/>
    <w:embedRegular r:id="rId5" w:fontKey="{7968BFD7-3B96-4C04-B565-5FF6B44D36F3}"/>
  </w:font>
  <w:font w:name="方正大标宋简体">
    <w:panose1 w:val="03000509000000000000"/>
    <w:charset w:val="86"/>
    <w:family w:val="auto"/>
    <w:pitch w:val="default"/>
    <w:sig w:usb0="00000001" w:usb1="080E0000" w:usb2="00000000" w:usb3="00000000" w:csb0="00040000" w:csb1="00000000"/>
    <w:embedRegular r:id="rId6" w:fontKey="{75CB77D7-B112-4EA9-B883-BAA799ED064A}"/>
  </w:font>
  <w:font w:name="方正小标宋_GBK">
    <w:panose1 w:val="03000509000000000000"/>
    <w:charset w:val="86"/>
    <w:family w:val="script"/>
    <w:pitch w:val="default"/>
    <w:sig w:usb0="00000001" w:usb1="080E0000" w:usb2="00000000" w:usb3="00000000" w:csb0="00040000" w:csb1="00000000"/>
    <w:embedRegular r:id="rId7" w:fontKey="{55962E2A-CC6C-4A2F-B024-08BD3778045F}"/>
  </w:font>
  <w:font w:name="方正黑体_GBK">
    <w:panose1 w:val="03000509000000000000"/>
    <w:charset w:val="86"/>
    <w:family w:val="script"/>
    <w:pitch w:val="default"/>
    <w:sig w:usb0="00000001" w:usb1="080E0000" w:usb2="00000000" w:usb3="00000000" w:csb0="00040000" w:csb1="00000000"/>
    <w:embedRegular r:id="rId8" w:fontKey="{EEE2D346-AACF-480E-95A9-7500D40A2FE1}"/>
  </w:font>
  <w:font w:name="仿宋">
    <w:panose1 w:val="02010609060101010101"/>
    <w:charset w:val="86"/>
    <w:family w:val="modern"/>
    <w:pitch w:val="default"/>
    <w:sig w:usb0="800002BF" w:usb1="38CF7CFA" w:usb2="00000016" w:usb3="00000000" w:csb0="00040001" w:csb1="00000000"/>
    <w:embedRegular r:id="rId9" w:fontKey="{B99D07A4-274A-40DF-BEC2-8F0FB7458909}"/>
  </w:font>
  <w:font w:name="方正楷体_GBK">
    <w:panose1 w:val="03000509000000000000"/>
    <w:charset w:val="86"/>
    <w:family w:val="script"/>
    <w:pitch w:val="default"/>
    <w:sig w:usb0="00000001" w:usb1="080E0000" w:usb2="00000000" w:usb3="00000000" w:csb0="00040000" w:csb1="00000000"/>
    <w:embedRegular r:id="rId10" w:fontKey="{D5E84B0D-4A06-429D-941C-ED292472EC24}"/>
  </w:font>
  <w:font w:name="微软雅黑">
    <w:panose1 w:val="020B0503020204020204"/>
    <w:charset w:val="86"/>
    <w:family w:val="auto"/>
    <w:pitch w:val="default"/>
    <w:sig w:usb0="80000287" w:usb1="2ACF3C50" w:usb2="00000016" w:usb3="00000000" w:csb0="0004001F"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7518A">
    <w:pPr>
      <w:pStyle w:val="4"/>
      <w:jc w:val="right"/>
      <w:rPr>
        <w:rFonts w:ascii="Times New Roman" w:cs="Times New Roman"/>
        <w:sz w:val="28"/>
        <w:szCs w:val="28"/>
      </w:rPr>
    </w:pPr>
    <w:r>
      <w:rPr>
        <w:rFonts w:ascii="Times New Roman" w:cs="Times New Roman"/>
        <w:sz w:val="28"/>
        <w:szCs w:val="28"/>
      </w:rPr>
      <w:t>—</w:t>
    </w:r>
    <w:sdt>
      <w:sdtPr>
        <w:rPr>
          <w:rFonts w:ascii="Times New Roman" w:cs="Times New Roman"/>
          <w:sz w:val="28"/>
          <w:szCs w:val="28"/>
        </w:rPr>
        <w:id w:val="-834765716"/>
      </w:sdtPr>
      <w:sdtEndPr>
        <w:rPr>
          <w:rFonts w:ascii="Times New Roman" w:cs="Times New Roman"/>
          <w:sz w:val="28"/>
          <w:szCs w:val="28"/>
        </w:rPr>
      </w:sdtEndPr>
      <w:sdtContent>
        <w:r>
          <w:rPr>
            <w:rFonts w:ascii="Times New Roman" w:cs="Times New Roman"/>
            <w:sz w:val="28"/>
            <w:szCs w:val="28"/>
          </w:rPr>
          <w:t xml:space="preserve"> </w:t>
        </w:r>
        <w:r>
          <w:rPr>
            <w:rFonts w:ascii="Times New Roman" w:cs="Times New Roman"/>
            <w:sz w:val="28"/>
            <w:szCs w:val="28"/>
          </w:rPr>
          <w:fldChar w:fldCharType="begin"/>
        </w:r>
        <w:r>
          <w:rPr>
            <w:rFonts w:ascii="Times New Roman" w:cs="Times New Roman"/>
            <w:sz w:val="28"/>
            <w:szCs w:val="28"/>
          </w:rPr>
          <w:instrText xml:space="preserve">PAGE   \* MERGEFORMAT</w:instrText>
        </w:r>
        <w:r>
          <w:rPr>
            <w:rFonts w:ascii="Times New Roman" w:cs="Times New Roman"/>
            <w:sz w:val="28"/>
            <w:szCs w:val="28"/>
          </w:rPr>
          <w:fldChar w:fldCharType="separate"/>
        </w:r>
        <w:r>
          <w:rPr>
            <w:rFonts w:ascii="Times New Roman" w:cs="Times New Roman"/>
            <w:sz w:val="28"/>
            <w:szCs w:val="28"/>
            <w:lang w:val="zh-CN"/>
          </w:rPr>
          <w:t>23</w:t>
        </w:r>
        <w:r>
          <w:rPr>
            <w:rFonts w:ascii="Times New Roman" w:cs="Times New Roman"/>
            <w:sz w:val="28"/>
            <w:szCs w:val="28"/>
          </w:rPr>
          <w:fldChar w:fldCharType="end"/>
        </w:r>
        <w:r>
          <w:rPr>
            <w:rFonts w:ascii="Times New Roman" w:cs="Times New Roman"/>
            <w:sz w:val="28"/>
            <w:szCs w:val="28"/>
          </w:rPr>
          <w:t xml:space="preserve"> </w:t>
        </w:r>
      </w:sdtContent>
    </w:sdt>
    <w:r>
      <w:rPr>
        <w:rFonts w:ascii="Times New Roman" w:cs="Times New Roman"/>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5312409"/>
    </w:sdtPr>
    <w:sdtEndPr>
      <w:rPr>
        <w:rFonts w:ascii="Times New Roman" w:cs="Times New Roman"/>
        <w:sz w:val="28"/>
        <w:szCs w:val="28"/>
      </w:rPr>
    </w:sdtEndPr>
    <w:sdtContent>
      <w:p w14:paraId="68B8319F">
        <w:pPr>
          <w:pStyle w:val="4"/>
          <w:rPr>
            <w:rFonts w:ascii="Times New Roman" w:cs="Times New Roman"/>
            <w:sz w:val="28"/>
            <w:szCs w:val="28"/>
          </w:rPr>
        </w:pPr>
        <w:r>
          <w:rPr>
            <w:rFonts w:ascii="Times New Roman" w:cs="Times New Roman"/>
            <w:sz w:val="28"/>
            <w:szCs w:val="28"/>
          </w:rPr>
          <w:t xml:space="preserve">— </w:t>
        </w:r>
        <w:r>
          <w:rPr>
            <w:rFonts w:ascii="Times New Roman" w:cs="Times New Roman"/>
            <w:sz w:val="28"/>
            <w:szCs w:val="28"/>
          </w:rPr>
          <w:fldChar w:fldCharType="begin"/>
        </w:r>
        <w:r>
          <w:rPr>
            <w:rFonts w:ascii="Times New Roman" w:cs="Times New Roman"/>
            <w:sz w:val="28"/>
            <w:szCs w:val="28"/>
          </w:rPr>
          <w:instrText xml:space="preserve">PAGE   \* MERGEFORMAT</w:instrText>
        </w:r>
        <w:r>
          <w:rPr>
            <w:rFonts w:ascii="Times New Roman" w:cs="Times New Roman"/>
            <w:sz w:val="28"/>
            <w:szCs w:val="28"/>
          </w:rPr>
          <w:fldChar w:fldCharType="separate"/>
        </w:r>
        <w:r>
          <w:rPr>
            <w:rFonts w:ascii="Times New Roman" w:cs="Times New Roman"/>
            <w:sz w:val="28"/>
            <w:szCs w:val="28"/>
            <w:lang w:val="zh-CN"/>
          </w:rPr>
          <w:t>22</w:t>
        </w:r>
        <w:r>
          <w:rPr>
            <w:rFonts w:ascii="Times New Roman" w:cs="Times New Roman"/>
            <w:sz w:val="28"/>
            <w:szCs w:val="28"/>
          </w:rPr>
          <w:fldChar w:fldCharType="end"/>
        </w:r>
        <w:r>
          <w:rPr>
            <w:rFonts w:ascii="Times New Roman" w:cs="Times New Roman"/>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trackRevisions w:val="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4ODEyOWU1NmEyNDU1YzM4N2RmODI5YTE2MTk1YzIifQ=="/>
  </w:docVars>
  <w:rsids>
    <w:rsidRoot w:val="00172A27"/>
    <w:rsid w:val="000A27C9"/>
    <w:rsid w:val="000B013B"/>
    <w:rsid w:val="00102B76"/>
    <w:rsid w:val="00102DCE"/>
    <w:rsid w:val="00122060"/>
    <w:rsid w:val="00172A27"/>
    <w:rsid w:val="00202891"/>
    <w:rsid w:val="002148B9"/>
    <w:rsid w:val="002E1F17"/>
    <w:rsid w:val="0039602B"/>
    <w:rsid w:val="003E17E7"/>
    <w:rsid w:val="00486445"/>
    <w:rsid w:val="004C526C"/>
    <w:rsid w:val="004E562E"/>
    <w:rsid w:val="005700B3"/>
    <w:rsid w:val="005A622A"/>
    <w:rsid w:val="00676C54"/>
    <w:rsid w:val="00683503"/>
    <w:rsid w:val="006D1267"/>
    <w:rsid w:val="00815603"/>
    <w:rsid w:val="00815841"/>
    <w:rsid w:val="008669B6"/>
    <w:rsid w:val="00887E4D"/>
    <w:rsid w:val="008B6C91"/>
    <w:rsid w:val="0094572C"/>
    <w:rsid w:val="009A0BEF"/>
    <w:rsid w:val="009A77DA"/>
    <w:rsid w:val="009A7ECB"/>
    <w:rsid w:val="009D6DAC"/>
    <w:rsid w:val="009E09AE"/>
    <w:rsid w:val="00A07C9E"/>
    <w:rsid w:val="00A4513C"/>
    <w:rsid w:val="00A5487F"/>
    <w:rsid w:val="00A71D4F"/>
    <w:rsid w:val="00A75925"/>
    <w:rsid w:val="00AF2050"/>
    <w:rsid w:val="00B015AB"/>
    <w:rsid w:val="00B642C9"/>
    <w:rsid w:val="00C505C1"/>
    <w:rsid w:val="00C53426"/>
    <w:rsid w:val="00C567C3"/>
    <w:rsid w:val="00CC723E"/>
    <w:rsid w:val="00CD31CB"/>
    <w:rsid w:val="00DD2166"/>
    <w:rsid w:val="00F02FF0"/>
    <w:rsid w:val="00F34530"/>
    <w:rsid w:val="00F44326"/>
    <w:rsid w:val="00F963CD"/>
    <w:rsid w:val="00F96AAC"/>
    <w:rsid w:val="00FA34BC"/>
    <w:rsid w:val="01A7022B"/>
    <w:rsid w:val="05AA5673"/>
    <w:rsid w:val="07B00007"/>
    <w:rsid w:val="0BB64BEB"/>
    <w:rsid w:val="0D624F21"/>
    <w:rsid w:val="0D900AFC"/>
    <w:rsid w:val="0E8F1D2A"/>
    <w:rsid w:val="10F030CE"/>
    <w:rsid w:val="12D90460"/>
    <w:rsid w:val="13A831EC"/>
    <w:rsid w:val="14A81E98"/>
    <w:rsid w:val="169256F6"/>
    <w:rsid w:val="175240E1"/>
    <w:rsid w:val="1C8C20A0"/>
    <w:rsid w:val="1CED4F8F"/>
    <w:rsid w:val="1E712D1A"/>
    <w:rsid w:val="1EBD29E4"/>
    <w:rsid w:val="1EDC0824"/>
    <w:rsid w:val="20F436F8"/>
    <w:rsid w:val="210B5C89"/>
    <w:rsid w:val="22737F8A"/>
    <w:rsid w:val="248014F2"/>
    <w:rsid w:val="27E234BC"/>
    <w:rsid w:val="2E3149F1"/>
    <w:rsid w:val="2F3C0C5D"/>
    <w:rsid w:val="2F6852ED"/>
    <w:rsid w:val="2FC50CEB"/>
    <w:rsid w:val="30197C97"/>
    <w:rsid w:val="3284589B"/>
    <w:rsid w:val="35623AF5"/>
    <w:rsid w:val="36A40A0C"/>
    <w:rsid w:val="381C72C3"/>
    <w:rsid w:val="39994FCF"/>
    <w:rsid w:val="3A8F1100"/>
    <w:rsid w:val="3AE9462C"/>
    <w:rsid w:val="3B646A73"/>
    <w:rsid w:val="3BFD414B"/>
    <w:rsid w:val="3C3E18CB"/>
    <w:rsid w:val="3EE41B57"/>
    <w:rsid w:val="40583804"/>
    <w:rsid w:val="439873F8"/>
    <w:rsid w:val="477C2B8D"/>
    <w:rsid w:val="47FE17F4"/>
    <w:rsid w:val="4800556C"/>
    <w:rsid w:val="488A4B91"/>
    <w:rsid w:val="4B524331"/>
    <w:rsid w:val="4B977F95"/>
    <w:rsid w:val="503B5FAD"/>
    <w:rsid w:val="550359AC"/>
    <w:rsid w:val="55172147"/>
    <w:rsid w:val="55700DF4"/>
    <w:rsid w:val="5B4170BB"/>
    <w:rsid w:val="5BC621D1"/>
    <w:rsid w:val="5C8C3121"/>
    <w:rsid w:val="5E4C5B7D"/>
    <w:rsid w:val="5E985976"/>
    <w:rsid w:val="61F12AC0"/>
    <w:rsid w:val="62456545"/>
    <w:rsid w:val="63E74F02"/>
    <w:rsid w:val="683F6046"/>
    <w:rsid w:val="68B71A43"/>
    <w:rsid w:val="697119CE"/>
    <w:rsid w:val="6A411EA1"/>
    <w:rsid w:val="6F845CDD"/>
    <w:rsid w:val="6FE85EDB"/>
    <w:rsid w:val="72406FEF"/>
    <w:rsid w:val="74823F04"/>
    <w:rsid w:val="769431A0"/>
    <w:rsid w:val="78445EC1"/>
    <w:rsid w:val="7ACC2F08"/>
    <w:rsid w:val="7C3A0345"/>
    <w:rsid w:val="7D855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Times New Roman" w:eastAsia="等线" w:cs="Arial"/>
      <w:kern w:val="2"/>
      <w:sz w:val="21"/>
      <w:szCs w:val="22"/>
      <w:lang w:val="en-US" w:eastAsia="zh-CN" w:bidi="ar-SA"/>
    </w:rPr>
  </w:style>
  <w:style w:type="paragraph" w:styleId="2">
    <w:name w:val="heading 2"/>
    <w:basedOn w:val="1"/>
    <w:next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标题 2 字符"/>
    <w:basedOn w:val="8"/>
    <w:link w:val="2"/>
    <w:qFormat/>
    <w:uiPriority w:val="9"/>
    <w:rPr>
      <w:rFonts w:ascii="宋体" w:hAnsi="宋体" w:eastAsia="宋体" w:cs="宋体"/>
      <w:b/>
      <w:bCs/>
      <w:kern w:val="0"/>
      <w:sz w:val="36"/>
      <w:szCs w:val="36"/>
    </w:rPr>
  </w:style>
  <w:style w:type="paragraph" w:styleId="10">
    <w:name w:val="List Paragraph"/>
    <w:basedOn w:val="1"/>
    <w:qFormat/>
    <w:uiPriority w:val="34"/>
    <w:pPr>
      <w:ind w:firstLine="420" w:firstLineChars="200"/>
    </w:pPr>
  </w:style>
  <w:style w:type="character" w:customStyle="1" w:styleId="11">
    <w:name w:val="页脚 字符"/>
    <w:basedOn w:val="8"/>
    <w:link w:val="4"/>
    <w:qFormat/>
    <w:uiPriority w:val="99"/>
    <w:rPr>
      <w:rFonts w:ascii="等线" w:hAnsi="Times New Roman" w:eastAsia="等线" w:cs="Arial"/>
      <w:sz w:val="18"/>
      <w:szCs w:val="18"/>
    </w:rPr>
  </w:style>
  <w:style w:type="character" w:customStyle="1" w:styleId="12">
    <w:name w:val="页眉 字符"/>
    <w:basedOn w:val="8"/>
    <w:link w:val="5"/>
    <w:qFormat/>
    <w:uiPriority w:val="99"/>
    <w:rPr>
      <w:rFonts w:ascii="等线" w:hAnsi="Times New Roman" w:eastAsia="等线" w:cs="Arial"/>
      <w:sz w:val="18"/>
      <w:szCs w:val="18"/>
    </w:rPr>
  </w:style>
  <w:style w:type="character" w:customStyle="1" w:styleId="13">
    <w:name w:val="批注框文本 字符"/>
    <w:basedOn w:val="8"/>
    <w:link w:val="3"/>
    <w:semiHidden/>
    <w:qFormat/>
    <w:uiPriority w:val="99"/>
    <w:rPr>
      <w:rFonts w:ascii="等线" w:hAnsi="Times New Roman" w:eastAsia="等线" w:cs="Arial"/>
      <w:sz w:val="18"/>
      <w:szCs w:val="18"/>
    </w:rPr>
  </w:style>
  <w:style w:type="paragraph" w:customStyle="1" w:styleId="14">
    <w:name w:val="Default"/>
    <w:unhideWhenUsed/>
    <w:qFormat/>
    <w:uiPriority w:val="99"/>
    <w:pPr>
      <w:widowControl w:val="0"/>
      <w:autoSpaceDE w:val="0"/>
      <w:autoSpaceDN w:val="0"/>
      <w:adjustRightInd w:val="0"/>
    </w:pPr>
    <w:rPr>
      <w:rFonts w:ascii="仿宋_GB2312" w:hAnsi="仿宋_GB2312" w:eastAsia="仿宋_GB2312" w:cstheme="minorBidi"/>
      <w:color w:val="000000"/>
      <w:sz w:val="24"/>
      <w:szCs w:val="24"/>
      <w:lang w:val="en-US" w:eastAsia="zh-CN" w:bidi="ar-SA"/>
    </w:rPr>
  </w:style>
  <w:style w:type="paragraph" w:customStyle="1" w:styleId="15">
    <w:name w:val="Revision"/>
    <w:hidden/>
    <w:unhideWhenUsed/>
    <w:qFormat/>
    <w:uiPriority w:val="99"/>
    <w:rPr>
      <w:rFonts w:ascii="等线" w:hAnsi="Times New Roman" w:eastAsia="等线" w:cs="Arial"/>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9662</Words>
  <Characters>9771</Characters>
  <Lines>21</Lines>
  <Paragraphs>144</Paragraphs>
  <TotalTime>77</TotalTime>
  <ScaleCrop>false</ScaleCrop>
  <LinksUpToDate>false</LinksUpToDate>
  <CharactersWithSpaces>9937</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2023-04-20T11:52:00Z</dcterms:created>
  <dc:creator>yhy</dc:creator>
  <cp:lastModifiedBy>蓝水白帆</cp:lastModifiedBy>
  <cp:lastPrinted>2026-07-25T09:26:00Z</cp:lastPrinted>
  <dcterms:modified xsi:type="dcterms:W3CDTF">2026-07-30T15:16:43Z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9453A030BF21407297E16A5C7CE96063_13</vt:lpwstr>
  </property>
  <property fmtid="{D5CDD505-2E9C-101B-9397-08002B2CF9AE}" pid="4" name="KSOTemplateDocerSaveRecord">
    <vt:lpwstr>eyJoZGlkIjoiNDU4NDIwMjI0ZTllMjAxYTU2ZWY0NWNiNmY4NWIwNDciLCJ1c2VySWQiOiI5MzA5MDA0ODAifQ==</vt:lpwstr>
  </property>
</Properties>
</file>