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640" w:lineRule="exact"/>
        <w:jc w:val="center"/>
        <w:rPr>
          <w:rFonts w:hint="default" w:ascii="Times New Roman" w:hAnsi="Times New Roman" w:cs="Times New Roman"/>
          <w:szCs w:val="32"/>
        </w:rPr>
      </w:pPr>
      <w:bookmarkStart w:id="0" w:name="_Toc24727"/>
      <w:bookmarkEnd w:id="0"/>
      <w:bookmarkStart w:id="1" w:name="_Hlk104547039"/>
      <w:bookmarkEnd w:id="1"/>
      <w:bookmarkStart w:id="2" w:name="_Toc17376"/>
      <w:bookmarkEnd w:id="2"/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640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1800" w:lineRule="exact"/>
        <w:ind w:left="0" w:right="0" w:firstLine="0"/>
        <w:rPr>
          <w:rFonts w:hint="default" w:ascii="Times New Roman" w:hAnsi="Times New Roman" w:eastAsia="方正小标宋_GBK" w:cs="Times New Roman"/>
          <w:b w:val="0"/>
          <w:color w:val="FFFFFF"/>
          <w:spacing w:val="-10"/>
          <w:w w:val="53"/>
          <w:sz w:val="144"/>
        </w:rPr>
      </w:pPr>
      <w:r>
        <w:rPr>
          <w:rFonts w:hint="default" w:ascii="Times New Roman" w:hAnsi="Times New Roman" w:eastAsia="方正小标宋_GBK" w:cs="Times New Roman"/>
          <w:b w:val="0"/>
          <w:color w:val="FFFFFF"/>
          <w:spacing w:val="-10"/>
          <w:w w:val="53"/>
          <w:sz w:val="144"/>
        </w:rPr>
        <w:t>宿迁市人民政府办公室文件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8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宿政发〔2023〕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default" w:ascii="Times New Roman" w:hAnsi="Times New Roman" w:eastAsia="方正大标宋简体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bidi w:val="0"/>
        <w:spacing w:line="58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市政府关于印发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宿迁市推进生物医药产业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bidi w:val="0"/>
        <w:spacing w:line="580" w:lineRule="exact"/>
        <w:ind w:right="0" w:rightChars="0"/>
        <w:jc w:val="center"/>
        <w:textAlignment w:val="auto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高质量发展行动方案（2024-2025年）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各县、区人民政府，市各开发区、新区、园区管委会，市各有关部门和单位：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《宿迁市推进生物医药产业高质量发展行动方案（2024-2025年）》已经市政府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六届三十一次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审议通过，现印发给你们，请结合实际认真贯彻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059" w:firstLineChars="1581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宿迁市人民政府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19" w:firstLineChars="1506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2023年1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  <w:r>
        <w:rPr>
          <w:rFonts w:hint="eastAsia" w:ascii="方正小标宋_GBK" w:eastAsia="方正小标宋_GBK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tabs>
          <w:tab w:val="left" w:pos="5880"/>
        </w:tabs>
        <w:wordWrap/>
        <w:overflowPunct/>
        <w:topLinePunct w:val="0"/>
        <w:bidi w:val="0"/>
        <w:spacing w:line="58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宿迁市推进生物医药产业高质量发展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wordWrap/>
        <w:overflowPunct/>
        <w:topLinePunct w:val="0"/>
        <w:bidi w:val="0"/>
        <w:spacing w:line="58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行动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方案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-2025年）</w:t>
      </w:r>
    </w:p>
    <w:p>
      <w:pPr>
        <w:pStyle w:val="4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textAlignment w:val="auto"/>
        <w:rPr>
          <w:rFonts w:hint="eastAsia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为全面贯彻国家战略部署，落实省委、省政府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市委、市政府构建现代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生物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医药产业体系的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工作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要求，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加快发展战略新兴产业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，培育产业发展新动能，推进全市生物医药产业高质量发展，制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定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本行动计划。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pacing w:val="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0"/>
          <w:sz w:val="32"/>
          <w:szCs w:val="32"/>
        </w:rPr>
        <w:t>一、</w:t>
      </w:r>
      <w:bookmarkStart w:id="4" w:name="_GoBack"/>
      <w:bookmarkEnd w:id="4"/>
      <w:r>
        <w:rPr>
          <w:rFonts w:ascii="Times New Roman" w:hAnsi="Times New Roman" w:eastAsia="方正黑体_GBK" w:cs="Times New Roman"/>
          <w:spacing w:val="0"/>
          <w:sz w:val="32"/>
          <w:szCs w:val="32"/>
        </w:rPr>
        <w:t>总体要求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坚持以习近平新时代中国特色社会主义思想为指导，贯彻落实江苏省发展壮大生物医药产业的战略要求，牢牢把握建设“四化”同步集成改革示范区的使命机遇，以服务人民健康美好生活需求为根本宗旨，以壮大提升产业实力为目标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初步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构建宿迁生物医药“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3+1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”产业体系，形成“一核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两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区”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的产业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布局，深入推进生物医药产业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绿色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化、特色化、高端化、数字化发展，为打造江苏省原料药制剂一体化创新示范区、长三角高端医疗器械先进制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造业基地、全国生物医药创新成果转化重要承载区打下坚实的基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础。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pacing w:val="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0"/>
          <w:sz w:val="32"/>
          <w:szCs w:val="32"/>
        </w:rPr>
        <w:t>二、主要目标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到2025年，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全市生物医药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产业布局和结构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不断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优化，产业整体规模和集聚度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显著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提升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创新能力和产业竞争力明显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增强，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全市生物医药产业产值达到120亿元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规上企业达到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0家，高新技术企业超过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0家，</w:t>
      </w:r>
      <w:r>
        <w:rPr>
          <w:rFonts w:ascii="Times New Roman" w:hAnsi="Times New Roman" w:eastAsia="仿宋" w:cs="Times New Roman"/>
          <w:spacing w:val="0"/>
          <w:sz w:val="32"/>
          <w:szCs w:val="32"/>
        </w:rPr>
        <w:t>获批仿制药批件15个，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创新药批件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实现零的突破，新增</w:t>
      </w:r>
      <w:r>
        <w:rPr>
          <w:rFonts w:ascii="Times New Roman" w:hAnsi="Times New Roman" w:eastAsia="仿宋" w:cs="Times New Roman"/>
          <w:spacing w:val="0"/>
          <w:sz w:val="32"/>
          <w:szCs w:val="32"/>
        </w:rPr>
        <w:t>首次注册二类医疗器械200个，首次注册三类医疗器械10个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pacing w:val="0"/>
          <w:sz w:val="32"/>
          <w:szCs w:val="32"/>
        </w:rPr>
      </w:pPr>
      <w:bookmarkStart w:id="3" w:name="_Toc123655219"/>
      <w:r>
        <w:rPr>
          <w:rFonts w:ascii="Times New Roman" w:hAnsi="Times New Roman" w:eastAsia="方正黑体_GBK" w:cs="Times New Roman"/>
          <w:spacing w:val="0"/>
          <w:sz w:val="32"/>
          <w:szCs w:val="32"/>
        </w:rPr>
        <w:t>三、重点任务</w:t>
      </w:r>
    </w:p>
    <w:bookmarkEnd w:id="3"/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实施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产业空间布局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“优化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”行动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按照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集中、集聚、集约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”原则，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强化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产业规划，明晰产业定位，加快产业集聚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发展。到2025年，形成</w:t>
      </w:r>
      <w:r>
        <w:rPr>
          <w:rFonts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“一核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两区</w:t>
      </w:r>
      <w:r>
        <w:rPr>
          <w:rFonts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的集聚发展格局。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 xml:space="preserve">1. 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打造产业核心区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推动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宿豫区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依托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生态化工科技产业园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挂牌建设</w:t>
      </w:r>
      <w:r>
        <w:rPr>
          <w:rFonts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宿迁生物医药产业园，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聚焦专利与特色原料药，创新应用生物催化技术，夯实化学原料药、医药中间体与药用辅料产业链条，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重点发展原料药制剂一体化的研发转化制造产业链，全力打造江苏省原料药制剂创新示范区。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依托宿迁高新技术开发区，重点发展医美器械和医美服务等细分领域，形成医美原材料—产品制造—医疗服务—医美电商的全产业链条。依托宿迁电子商务产业园，打造医药物流集散中心，形成产业链闭环。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（责任单位：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市发展改革委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、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市工业和信息化局、市商务局、市科技局、市市场监管局、市自然资源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规划局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宿豫区人民政府）</w:t>
      </w:r>
    </w:p>
    <w:p>
      <w:pPr>
        <w:pStyle w:val="4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spacing w:val="0"/>
          <w:kern w:val="2"/>
          <w:sz w:val="32"/>
          <w:szCs w:val="32"/>
          <w:lang w:val="en-US" w:eastAsia="zh-CN" w:bidi="ar-SA"/>
        </w:rPr>
        <w:t>2. 推动建设2个特色产业集聚区。</w:t>
      </w:r>
      <w:r>
        <w:rPr>
          <w:rFonts w:ascii="Times New Roman" w:hAnsi="Times New Roman" w:cs="Times New Roman"/>
          <w:spacing w:val="0"/>
          <w:lang w:val="en-US"/>
        </w:rPr>
        <w:t>依托昆沭高新技术产业园</w:t>
      </w:r>
      <w:r>
        <w:rPr>
          <w:rFonts w:ascii="Times New Roman" w:hAnsi="Times New Roman" w:cs="Times New Roman"/>
          <w:spacing w:val="0"/>
        </w:rPr>
        <w:t>，打造</w:t>
      </w:r>
      <w:r>
        <w:rPr>
          <w:rFonts w:hint="eastAsia" w:ascii="Times New Roman" w:hAnsi="Times New Roman" w:cs="Times New Roman"/>
          <w:spacing w:val="0"/>
        </w:rPr>
        <w:t>沭阳</w:t>
      </w:r>
      <w:r>
        <w:rPr>
          <w:rFonts w:ascii="Times New Roman" w:hAnsi="Times New Roman" w:cs="Times New Roman"/>
          <w:spacing w:val="0"/>
        </w:rPr>
        <w:t>医疗器械产业园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区</w:t>
      </w:r>
      <w:r>
        <w:rPr>
          <w:rFonts w:ascii="Times New Roman" w:hAnsi="Times New Roman" w:cs="Times New Roman"/>
          <w:spacing w:val="0"/>
        </w:rPr>
        <w:t>，重点发展眼科等高值耗材、医美器械和医药流通细分领域，打造高端医疗器械研发孵化转化基地与冷链物流仓储基地，谋划建设医疗器械MAH特色生产转化基地。集中建设医疗器械审评审批服务平台，符合医疗器械生产标准的GMP厂房，涵盖多温仓储、双温查验仓储等多功能、智能化医药冷链平台等功能平台。依托湖滨新区软件园，打造湖滨新区数字医疗产业园区，重点发展医疗大数据、互联网医院等医药服务细分领域，加速集聚企业总部，支持企业创新商业应用场景，打造全省生物技术与数字技术融合发展示范区。</w:t>
      </w:r>
      <w:r>
        <w:rPr>
          <w:rFonts w:hint="eastAsia" w:ascii="Times New Roman" w:hAnsi="Times New Roman" w:cs="Times New Roman"/>
          <w:spacing w:val="0"/>
        </w:rPr>
        <w:t>鼓励</w:t>
      </w:r>
      <w:r>
        <w:rPr>
          <w:rFonts w:ascii="Times New Roman" w:hAnsi="Times New Roman" w:cs="Times New Roman"/>
          <w:spacing w:val="0"/>
        </w:rPr>
        <w:t>泗洪县利用现有的医疗器械销售资源，招引国内外医疗器械龙头企业，打造国内知名眼科医疗器械生产销售集散中心，谋划建设眼科医疗器械实验室和仓储基地</w:t>
      </w:r>
      <w:r>
        <w:rPr>
          <w:rFonts w:hint="eastAsia" w:ascii="Times New Roman" w:hAnsi="Times New Roman" w:cs="Times New Roman"/>
          <w:spacing w:val="0"/>
        </w:rPr>
        <w:t>，为全市生物医药产业高质量发展提供服务支撑</w:t>
      </w:r>
      <w:r>
        <w:rPr>
          <w:rFonts w:ascii="Times New Roman" w:hAnsi="Times New Roman" w:cs="Times New Roman"/>
          <w:spacing w:val="0"/>
        </w:rPr>
        <w:t>。</w:t>
      </w:r>
      <w:r>
        <w:rPr>
          <w:rFonts w:hint="eastAsia" w:ascii="Times New Roman" w:hAnsi="Times New Roman" w:cs="Times New Roman"/>
          <w:spacing w:val="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  <w:t>责任单位：市发展改革委、市工业和信息化局、市商务局、市科技局、市市场监管局、市自然资源</w:t>
      </w:r>
      <w:r>
        <w:rPr>
          <w:rFonts w:hint="eastAsia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  <w:t>规划局，沭阳县</w:t>
      </w:r>
      <w:r>
        <w:rPr>
          <w:rFonts w:hint="eastAsia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  <w:t>泗洪县人民政府，市湖滨新区管委会）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（二）实施产业规模“壮大”行动。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构建生物医药“3+1“产业体系，集中要素资源，重点布局专利与特色原料药、高质量仿制药、改良型新药、高值耗材、医学美容和数字医疗等产业。到2025年，全市生物医药产业产值达到120亿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3. 推动原料药和仿制药集约化发展。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鼓励原料药骨干企业推进绿色生产技术改造，加快发展特色原料药和高端定制原料药，提高原料药产业集中度和规模化生产水平。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引导重点企业延伸发展抗病毒、心脑血管、神经系统等优势原料药下游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仿制药制剂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布局化学仿制药的研发和生产，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开展供应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链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下游制剂的大品种精准引进计划，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实行原料药制剂一体化发展，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构建化学药完整产业链。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加快向规模化、集约化方向发展，形成江苏原料制剂先进制造业基地，2025年产值规模达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50亿元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楷体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责任单位：市工业和信息化局、市市场监管局、省药监局宿迁检查分局，泗阳县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宿豫区人民政府）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4. 促进医用耗材向产业链高端延伸。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立足本地有机新材料、金属新材料等产业领域基础和优势，大力支持医用高分子材料、新型复合材料等医用新材料研发生产，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推动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重点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发展壮大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成医用高值耗材龙头企业，打造“医用熔喷无纺布—医疗防护用品—医用高值耗材”全产业链研发生产基地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。支持医用耗材企业瞄准骨科机器人、手术导航机器人、心血管支架、心脏瓣膜、脊柱和关节类骨科植入器械等高端领域，加大研发投入，实现产品持续迭代，不断提升产业竞争能力。到2025年，高值耗材产业产值达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20亿元。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（责任单位：市工业和信息化局、市市场监管局、省药监局宿迁检查分局，沭阳县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泗阳县人民政府）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5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.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 xml:space="preserve"> 打造医学美容特色产业集群。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以医美器械研发制造为核心，同步布局高品质医美服务。重点聚焦再生微球、肉毒、胶原蛋白等微整形注射类耗材，硅胶、膨体等手术整形植入类耗材；重点发展皮秒、点阵、光子激光美容设备，积极发展具备抗衰功能的热拉提、热玛吉等射频美容设备，加速布局适用于皮肤斑点、毛孔、皱纹等即时检测设备。适时发展品牌特色医美专科诊所、医用美妆综合体、医美互联网平台等服务业态。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到2025年，医学美容产业产值达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到</w:t>
      </w:r>
      <w:r>
        <w:rPr>
          <w:rFonts w:ascii="Times New Roman" w:hAnsi="Times New Roman" w:eastAsia="方正仿宋_GBK" w:cs="Times New Roman"/>
          <w:bCs/>
          <w:spacing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0亿元。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（责任单位：市工业和信息化局、市市场监管局、省药监局宿迁检查分局，宿豫区人民政府）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6. 加快发展数字医疗产业新业态。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以“大数据+”为牵引，形成产业闭环。积极探索“大数据+生物医药”发展新模式，打造基于人工智能与大数据的e-CRO平台，推动以生物医药数字化创新为特色的新业态在宿迁集聚。以打造生态节点为重点，推进传统医药商贸流通与大数据紧密结合，重点布局互联网医院、智慧物流、医药电商、医疗数字化运营平台等新业态，推广无人智慧药柜等自动化药房新零售模式。到2025年，数字医疗服务产业产值达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</w:rPr>
        <w:t>20亿元。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（责任单位：市工业和信息化局、市市场监管</w:t>
      </w:r>
      <w:r>
        <w:rPr>
          <w:rFonts w:hint="eastAsia" w:ascii="Times New Roman" w:hAnsi="Times New Roman" w:eastAsia="方正楷体_GBK" w:cs="Times New Roman"/>
          <w:spacing w:val="-6"/>
          <w:sz w:val="32"/>
          <w:szCs w:val="32"/>
        </w:rPr>
        <w:t>局、省药监局宿迁检查分局，宿豫区</w:t>
      </w:r>
      <w:r>
        <w:rPr>
          <w:rFonts w:hint="eastAsia" w:ascii="Times New Roman" w:hAnsi="Times New Roman" w:eastAsia="方正楷体_GBK" w:cs="Times New Roman"/>
          <w:spacing w:val="-6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Times New Roman" w:eastAsia="方正楷体_GBK" w:cs="Times New Roman"/>
          <w:spacing w:val="-6"/>
          <w:sz w:val="32"/>
          <w:szCs w:val="32"/>
        </w:rPr>
        <w:t>，市湖滨新区管委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实施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企业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引培“集聚”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行动。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聚力外引内培，精准招引，精准培育，全面推动生物医药企业做大规模总量、提升企业质态。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7. 开展精准招商。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围绕生物医药产业链重点发展方向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根据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国际、国内行业前沿趋势、行业动态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梳理产业链短板清单，建立国内外行业龙头、隐形冠军和潜在战略性企业库和招商目标企业参考名录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开展专业招商、精准招商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，实施产业链强链补链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到</w:t>
      </w:r>
      <w:r>
        <w:rPr>
          <w:rFonts w:ascii="Times New Roman" w:hAnsi="Times New Roman" w:eastAsia="方正仿宋_GBK" w:cs="Times New Roman"/>
          <w:bCs/>
          <w:spacing w:val="0"/>
          <w:sz w:val="32"/>
          <w:szCs w:val="32"/>
        </w:rPr>
        <w:t>2025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年，招引亿元以上工业项目不少于30个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（责任单位：市商务局，各县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eastAsia="zh-CN"/>
        </w:rPr>
        <w:t>、区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8. 加快企业培育。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支持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企业跨档升级，推动小微企业进规模，中小企业争创“专精特新”小巨人企业，龙头骨干企业股改上市、兼并重组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实施地标企业培育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，建立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地标企业遴选机制，形成生物医药地标企业培育目录，实施年度考核与动态滚动管理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加强对地标企业的挂钩服务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。加强高新技术企业培育，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实施“微成长”、“小升高”、“规转高”、“高培强”梯队培育计划，培育一批高成长性企业。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到2025年，全市生物医药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规模以上企业7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家，国家高新技术企业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0家。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（责任单位：市工业和信息化局、市科技局，各县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eastAsia="zh-CN"/>
        </w:rPr>
        <w:t>、区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/>
          <w:bCs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（四）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实施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创新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能力“攀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升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”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行动。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着力构建生物医药科技创新体系，构建多层次科技创新平台，提升科技创新综合实力，促进科技成果产业化，支撑生物医药高质量发展。到2025年，力争重大产业科技创新平台建设实现突破，产业创新能力得到较大提升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spacing w:val="0"/>
          <w:sz w:val="32"/>
          <w:szCs w:val="32"/>
        </w:rPr>
        <w:t xml:space="preserve">9. </w:t>
      </w:r>
      <w:r>
        <w:rPr>
          <w:rFonts w:hint="eastAsia" w:ascii="Times New Roman" w:hAnsi="Times New Roman" w:eastAsia="方正楷体_GBK"/>
          <w:bCs/>
          <w:spacing w:val="0"/>
          <w:kern w:val="2"/>
          <w:sz w:val="32"/>
          <w:szCs w:val="32"/>
        </w:rPr>
        <w:t>建设重大创新平台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积极争取国家和省级综合性、专业性创新平台在宿迁布局。支持</w:t>
      </w:r>
      <w:r>
        <w:rPr>
          <w:rFonts w:ascii="Times New Roman" w:hAnsi="Times New Roman" w:eastAsia="方正仿宋_GBK"/>
          <w:spacing w:val="0"/>
          <w:sz w:val="32"/>
          <w:szCs w:val="32"/>
        </w:rPr>
        <w:t>国际国内生物医药领域研究机构和知名高校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在宿设立产业技术研究院、医工交叉研究院、新型研发机构等重大创新平台，</w:t>
      </w:r>
      <w:r>
        <w:rPr>
          <w:rFonts w:ascii="Times New Roman" w:hAnsi="Times New Roman" w:eastAsia="方正仿宋_GBK"/>
          <w:spacing w:val="0"/>
          <w:sz w:val="32"/>
          <w:szCs w:val="32"/>
        </w:rPr>
        <w:t>开展原创性和关键共性技术攻关</w:t>
      </w:r>
      <w:r>
        <w:rPr>
          <w:rFonts w:ascii="Times New Roman" w:hAnsi="Times New Roman" w:eastAsia="宋体"/>
          <w:spacing w:val="0"/>
          <w:szCs w:val="24"/>
          <w:shd w:val="clear" w:color="auto" w:fill="FFFFFF"/>
        </w:rPr>
        <w:t>，</w:t>
      </w:r>
      <w:r>
        <w:rPr>
          <w:rFonts w:ascii="Times New Roman" w:hAnsi="Times New Roman" w:eastAsia="方正仿宋_GBK"/>
          <w:spacing w:val="0"/>
          <w:sz w:val="32"/>
          <w:szCs w:val="32"/>
        </w:rPr>
        <w:t>实现生物医药领域创新链与产业链深度融合。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推动宿豫区整合产业链重点企业共建宿迁生物医药创新中心，打造先进的生物医药科技创新平台、技术转化平台以及孵化育成平台，形成完备的生物医药创新孵化育成链条，引领全市生物医药科技创新发展。到2025年，建成省级以上创新平台10个，力争重大创新平台实现突破。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（责任单位：市科技局，各县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  <w:lang w:eastAsia="zh-CN"/>
        </w:rPr>
        <w:t>、区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人民政府，市各功能区管委会）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/>
          <w:bCs/>
          <w:spacing w:val="0"/>
          <w:kern w:val="2"/>
          <w:sz w:val="32"/>
          <w:szCs w:val="32"/>
        </w:rPr>
        <w:t>10. 提升企业创新能力。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突出企业创新主体地位，开展企业研发机构绩效评价，鼓励企业加强研发机构建设，加快创新人才引进，加大研发投入，推动企业研发机构量质提升，全面提高企业创新水平。到2025年，生物医药规模以上企业研发机构建有率达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100%。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（责任单位：市科技局，各县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  <w:lang w:eastAsia="zh-CN"/>
        </w:rPr>
        <w:t>、区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人民政府，市各功能区管委会）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/>
          <w:bCs/>
          <w:spacing w:val="0"/>
          <w:kern w:val="2"/>
          <w:sz w:val="32"/>
          <w:szCs w:val="32"/>
        </w:rPr>
        <w:t>11.</w:t>
      </w:r>
      <w:r>
        <w:rPr>
          <w:rFonts w:ascii="Times New Roman" w:hAnsi="Times New Roman"/>
          <w:spacing w:val="0"/>
        </w:rPr>
        <w:t xml:space="preserve"> </w:t>
      </w:r>
      <w:r>
        <w:rPr>
          <w:rFonts w:hint="eastAsia" w:ascii="Times New Roman" w:hAnsi="Times New Roman" w:eastAsia="方正楷体_GBK"/>
          <w:bCs/>
          <w:spacing w:val="0"/>
          <w:kern w:val="2"/>
          <w:sz w:val="32"/>
          <w:szCs w:val="32"/>
        </w:rPr>
        <w:t>完善创新服务配套。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围绕实验室研发、中试生产、临床试验、注册生产和销售流通全生命周期，引入专业第三方服务机构，打造“线上+线下”一体化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生物医药中小企业创新服务平台，助力药企提质增效。建设全市统一、开放、共享的生物样本库，支持市内医疗机构申请药物和医疗器械临床试验机构备案资质，探索建立临床研究型医院。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（责任单位：市科技局、市</w:t>
      </w:r>
      <w:r>
        <w:rPr>
          <w:rFonts w:ascii="Times New Roman" w:hAnsi="Times New Roman" w:eastAsia="方正楷体_GBK"/>
          <w:spacing w:val="0"/>
          <w:sz w:val="32"/>
          <w:szCs w:val="32"/>
        </w:rPr>
        <w:t>卫生健康委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，各县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  <w:lang w:eastAsia="zh-CN"/>
        </w:rPr>
        <w:t>、区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人民政府，市各功能区管委会）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pacing w:val="0"/>
          <w:sz w:val="32"/>
          <w:szCs w:val="32"/>
        </w:rPr>
      </w:pPr>
      <w:r>
        <w:rPr>
          <w:rFonts w:ascii="Times New Roman" w:hAnsi="Times New Roman" w:eastAsia="方正楷体_GBK"/>
          <w:bCs/>
          <w:spacing w:val="0"/>
          <w:sz w:val="32"/>
          <w:szCs w:val="32"/>
        </w:rPr>
        <w:t>（五）</w:t>
      </w:r>
      <w:r>
        <w:rPr>
          <w:rFonts w:hint="eastAsia" w:ascii="Times New Roman" w:hAnsi="Times New Roman" w:eastAsia="方正楷体_GBK"/>
          <w:bCs/>
          <w:spacing w:val="0"/>
          <w:sz w:val="32"/>
          <w:szCs w:val="32"/>
        </w:rPr>
        <w:t>实施</w:t>
      </w:r>
      <w:r>
        <w:rPr>
          <w:rFonts w:ascii="Times New Roman" w:hAnsi="Times New Roman" w:eastAsia="方正楷体_GBK"/>
          <w:bCs/>
          <w:spacing w:val="0"/>
          <w:sz w:val="32"/>
          <w:szCs w:val="32"/>
        </w:rPr>
        <w:t>产业金融“活水”行动。</w:t>
      </w:r>
      <w:r>
        <w:rPr>
          <w:rFonts w:ascii="Times New Roman" w:hAnsi="Times New Roman" w:eastAsia="方正仿宋_GBK"/>
          <w:spacing w:val="0"/>
          <w:sz w:val="32"/>
          <w:szCs w:val="32"/>
        </w:rPr>
        <w:t>聚焦生物医药未来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两</w:t>
      </w:r>
      <w:r>
        <w:rPr>
          <w:rFonts w:ascii="Times New Roman" w:hAnsi="Times New Roman" w:eastAsia="方正仿宋_GBK"/>
          <w:spacing w:val="0"/>
          <w:sz w:val="32"/>
          <w:szCs w:val="32"/>
        </w:rPr>
        <w:t>年重点发展领域，集合各方、各类金融资源，拓展企业融资渠道，营造多维度支持企业发展的良好金融环境。到2025年，基本建成信贷支持、股权投资、上市融资等多维度的资本支持体系。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12.</w:t>
      </w:r>
      <w:r>
        <w:rPr>
          <w:rFonts w:ascii="Times New Roman" w:hAnsi="Times New Roman" w:cs="Times New Roman"/>
          <w:spacing w:val="0"/>
        </w:rPr>
        <w:t xml:space="preserve"> 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健全金融服务保障机制。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吸引国内投融资机构与我市设立生物医药产业发展基金，建立金融资本和社会资本投资联动机制。梳理全市生物医药投融资重点项目目录，强化融资需求对接服务，支持新建项目落地和现有企业发展。加大生物医药企业上市培育服务力度，协调解决企业上市难题，加快推进企业上市进程，拓宽企业直接融资渠道。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（责任单位：市财政局、人行宿迁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分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行、市地方金融监管局，各县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eastAsia="zh-CN"/>
        </w:rPr>
        <w:t>、区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13.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 xml:space="preserve"> 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加大金融资本投入力度。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丰富金融信贷产品，支持龙头企业发行专项债、商业票据等直接融资工具，鼓励中小创新企业组团发行债券。推广融资租赁、知识产权质押融资、保理融资、供应链融资等信贷运作模式。支持符合条件的企业通过申请并购贷款、发行优先股、可转换债券等方式筹集兼并重组资金，鼓励各类投资者通过股权投资基金、创业投资基金、产业投资基金等形式参与企业兼并重组。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（责任单位：人行宿迁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分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行、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金融监管总局宿迁监管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分局、市发展改革委，各县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  <w:lang w:eastAsia="zh-CN"/>
        </w:rPr>
        <w:t>、区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（六）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实施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人才</w:t>
      </w:r>
      <w:r>
        <w:rPr>
          <w:rFonts w:hint="eastAsia" w:ascii="Times New Roman" w:hAnsi="Times New Roman" w:eastAsia="方正楷体_GBK" w:cs="Times New Roman"/>
          <w:bCs/>
          <w:spacing w:val="0"/>
          <w:sz w:val="32"/>
          <w:szCs w:val="32"/>
        </w:rPr>
        <w:t>“磁场”</w:t>
      </w:r>
      <w:r>
        <w:rPr>
          <w:rFonts w:ascii="Times New Roman" w:hAnsi="Times New Roman" w:eastAsia="方正楷体_GBK" w:cs="Times New Roman"/>
          <w:bCs/>
          <w:spacing w:val="0"/>
          <w:sz w:val="32"/>
          <w:szCs w:val="32"/>
        </w:rPr>
        <w:t>行动。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聚焦人才的引进、培养、服务，创新人才评价机制，为人才在宿创新创业提供保障。到2025年，基本形成与生物医药产业高质量发展相适应的人才支撑体系。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 xml:space="preserve">14. 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强化人才引进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实施“宿迁英才”雄英计划，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定向引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进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产业发展紧缺急需的研发人才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产业化技术人才、管理人才等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优化高端人才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引进和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服务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推行领导联系高层次人才制度。开辟人才职称评价直通车，简化评价流程，优化认定标准，创新人才成果应用，对生物医药产业高层次和急需紧缺人才直接考核认定相应级别职称，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探索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临床试验视同科研项目纳入科研绩效考评，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与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职称评定和职务晋升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挂钩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（责任单位：市委人才办、市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人力资源社会保障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局、市卫生健康委，各县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eastAsia="zh-CN"/>
        </w:rPr>
        <w:t>、区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sz w:val="32"/>
          <w:szCs w:val="32"/>
        </w:rPr>
        <w:t>15. 强化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产业技能人才培养。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完善生物医药产业专业技术人才评价体系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，强化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产业人才培育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支持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在宿高校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、职业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院校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增设制药工程、分析化学、药物制剂技术、医疗器械制造等专业，推进企校联合培养模式，搭建实训基地与产教融合共同体。大力推行生物医药企业职业技能等级认定，引导重点企业成立技能人才评价工作委员会，申报备案企业技能人才自主评价机构，培养更多适岗技能人才。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（责任单位：市人力资源社会保障局、市教育局，各县</w:t>
      </w:r>
      <w:r>
        <w:rPr>
          <w:rFonts w:hint="eastAsia" w:ascii="Times New Roman" w:hAnsi="Times New Roman" w:eastAsia="方正楷体_GBK" w:cs="Times New Roman"/>
          <w:spacing w:val="0"/>
          <w:sz w:val="32"/>
          <w:szCs w:val="32"/>
          <w:lang w:eastAsia="zh-CN"/>
        </w:rPr>
        <w:t>、区</w:t>
      </w: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人民政府，市各功能区管委会）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pacing w:val="0"/>
          <w:sz w:val="32"/>
          <w:szCs w:val="32"/>
        </w:rPr>
        <w:t>四</w:t>
      </w:r>
      <w:r>
        <w:rPr>
          <w:rFonts w:ascii="Times New Roman" w:hAnsi="Times New Roman" w:eastAsia="方正黑体_GBK" w:cs="Times New Roman"/>
          <w:spacing w:val="0"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（一）加强组织领导。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深化宿迁生物医药产业链专班建设，专班办公室设在市科技局，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负责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统筹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行动计划推进落实，分析研判产业推进情况，形成产业培育情况工作报告。各县区要加强组织领导，形成市县联动、部门协同推进的工作机制。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（二）强化要素保障。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创新办法化解土地、人才、水电气热等要素需求，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集成政策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资源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出台宿迁生物医药产业专项扶持政策，强化政策落实和监督管理，聚力推进宿迁生物医药产业高质量发展。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pacing w:val="0"/>
          <w:sz w:val="32"/>
          <w:szCs w:val="32"/>
        </w:rPr>
        <w:t>（三）建立考核评价。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建立生物医药产业高质量发展行动计划评价体系，研究制定年度推进计划，细化年度目标和考核评价办法，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强化跟踪调度，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切实抓好工作推</w:t>
      </w:r>
      <w:r>
        <w:rPr>
          <w:rFonts w:ascii="Times New Roman" w:hAnsi="Times New Roman" w:eastAsia="方正仿宋_GBK" w:cs="Times New Roman"/>
          <w:sz w:val="32"/>
          <w:szCs w:val="32"/>
        </w:rPr>
        <w:t>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，确保目标落地落实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43" w:firstLineChars="200"/>
        <w:jc w:val="both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1094105</wp:posOffset>
                </wp:positionV>
                <wp:extent cx="1028700" cy="431800"/>
                <wp:effectExtent l="5080" t="4445" r="1778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6230" y="9525635"/>
                          <a:ext cx="10287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35pt;margin-top:86.15pt;height:34pt;width:81pt;z-index:251662336;mso-width-relative:page;mso-height-relative:page;" fillcolor="#FFFFFF [3201]" filled="t" stroked="t" coordsize="21600,21600" o:gfxdata="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O&#10;jxDb2QAAAAsBAAAPAAAAAAAAAAEAIAAAACIAAABkcnMvZG93bnJldi54bWxQSwECFAAUAAAACACH&#10;TuJAiYDD2lwCAADEBAAADgAAAAAAAAABACAAAAAo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-4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5pt;height:0.2pt;width:441.7pt;z-index:251659264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hi341QAAAAQBAAAPAAAAAAAAAAEAIAAAACIAAABkcnMvZG93bnJldi54bWxQSwEC&#10;FAAUAAAACACHTuJANTf4PvcBAADq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bCs/>
          <w:color w:val="000000"/>
          <w:spacing w:val="-2"/>
          <w:sz w:val="28"/>
          <w:szCs w:val="28"/>
        </w:rPr>
        <w:t>市</w:t>
      </w:r>
      <w:r>
        <w:rPr>
          <w:rFonts w:hint="default" w:ascii="Times New Roman" w:hAnsi="Times New Roman" w:eastAsia="方正仿宋_GBK" w:cs="Times New Roman"/>
          <w:bCs/>
          <w:color w:val="000000"/>
          <w:spacing w:val="-4"/>
          <w:sz w:val="28"/>
          <w:szCs w:val="28"/>
        </w:rPr>
        <w:t>委各部委办，市人大常委会办公室，市政协办公室，市监委，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059" w:firstLineChars="384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-2"/>
          <w:sz w:val="28"/>
          <w:szCs w:val="28"/>
        </w:rPr>
        <w:t>市法院，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市检察院，宿迁军分区。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10" w:firstLineChars="100"/>
        <w:jc w:val="left"/>
        <w:textAlignment w:val="auto"/>
      </w:pP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05pt;height:0.2pt;width:441.85pt;z-index:251660288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F+321gAAAAYBAAAPAAAAAAAAAAEAIAAAACIAAABkcnMvZG93bnJldi54bWxQSwEC&#10;FAAUAAAACACHTuJAZXQ7zfYBAADqAwAADgAAAAAAAAABACAAAAAl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1312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euUn0wAAAAQBAAAPAAAAAAAAAAEAIAAAACIAAABkcnMvZG93bnJldi54bWxQSwECFAAUAAAA&#10;CACHTuJAjInzJvMBAADr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宿迁市人民政府办公室          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  2023年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日印发</w:t>
      </w:r>
    </w:p>
    <w:sectPr>
      <w:footerReference r:id="rId3" w:type="default"/>
      <w:pgSz w:w="11906" w:h="16838" w:orient="landscape"/>
      <w:pgMar w:top="2098" w:right="1531" w:bottom="1928" w:left="1531" w:header="851" w:footer="1474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bookFoldPrinting w:val="1"/>
  <w:bookFoldPrintingSheets w:val="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2I1YjNmZDkzOGNiYzE0MmU2ZjVlNTc2MzIzMGMifQ=="/>
  </w:docVars>
  <w:rsids>
    <w:rsidRoot w:val="12C65C87"/>
    <w:rsid w:val="0C5562E4"/>
    <w:rsid w:val="12C65C87"/>
    <w:rsid w:val="1E940171"/>
    <w:rsid w:val="2ADC4ACC"/>
    <w:rsid w:val="31D94BE3"/>
    <w:rsid w:val="358A322F"/>
    <w:rsid w:val="3AC220F7"/>
    <w:rsid w:val="478E2DBE"/>
    <w:rsid w:val="55020745"/>
    <w:rsid w:val="55232AF5"/>
    <w:rsid w:val="689D642E"/>
    <w:rsid w:val="69C32646"/>
    <w:rsid w:val="6B5606D6"/>
    <w:rsid w:val="71811489"/>
    <w:rsid w:val="76F94A18"/>
    <w:rsid w:val="7A6736ED"/>
    <w:rsid w:val="7B7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 w:line="480" w:lineRule="auto"/>
      <w:ind w:left="200" w:leftChars="200"/>
      <w:textAlignment w:val="baseline"/>
    </w:pPr>
    <w:rPr>
      <w:rFonts w:ascii="Times New Roman" w:hAnsi="Times New Roman"/>
    </w:rPr>
  </w:style>
  <w:style w:type="paragraph" w:styleId="4">
    <w:name w:val="Body Text"/>
    <w:basedOn w:val="1"/>
    <w:next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paragraph" w:customStyle="1" w:styleId="11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5143</Words>
  <Characters>5282</Characters>
  <Lines>0</Lines>
  <Paragraphs>0</Paragraphs>
  <TotalTime>10</TotalTime>
  <ScaleCrop>false</ScaleCrop>
  <LinksUpToDate>false</LinksUpToDate>
  <CharactersWithSpaces>5316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2023-12-11T09:24:00Z</dcterms:created>
  <dc:creator>Administrator</dc:creator>
  <cp:lastModifiedBy>Administrator</cp:lastModifiedBy>
  <cp:lastPrinted>2023-12-28T02:32:48Z</cp:lastPrinted>
  <dcterms:modified xsi:type="dcterms:W3CDTF">2023-12-28T02:32:55Z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2CA23A3363C745DC9D0B77946950E12E_13</vt:lpwstr>
  </property>
</Properties>
</file>